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079" w:rsidRPr="00585079" w:rsidRDefault="00585079" w:rsidP="00585079">
      <w:pPr>
        <w:spacing w:after="240" w:line="240" w:lineRule="auto"/>
        <w:rPr>
          <w:rFonts w:ascii="Times New Roman" w:eastAsia="Times New Roman" w:hAnsi="Times New Roman" w:cs="Times New Roman"/>
          <w:sz w:val="24"/>
          <w:szCs w:val="24"/>
        </w:rPr>
      </w:pPr>
      <w:bookmarkStart w:id="0" w:name="_GoBack"/>
      <w:bookmarkEnd w:id="0"/>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p>
    <w:p w:rsidR="00585079" w:rsidRPr="00585079" w:rsidRDefault="00585079" w:rsidP="00585079">
      <w:pPr>
        <w:spacing w:after="0" w:line="240" w:lineRule="auto"/>
        <w:jc w:val="center"/>
        <w:rPr>
          <w:rFonts w:ascii="Times New Roman" w:eastAsia="Times New Roman" w:hAnsi="Times New Roman" w:cs="Times New Roman"/>
          <w:sz w:val="24"/>
          <w:szCs w:val="24"/>
        </w:rPr>
      </w:pPr>
      <w:r w:rsidRPr="00585079">
        <w:rPr>
          <w:rFonts w:ascii="Times New Roman" w:eastAsia="Times New Roman" w:hAnsi="Times New Roman" w:cs="Times New Roman"/>
          <w:color w:val="000000"/>
          <w:sz w:val="24"/>
          <w:szCs w:val="24"/>
        </w:rPr>
        <w:t>British Colonization of India: A</w:t>
      </w:r>
      <w:r w:rsidR="003E4EEA">
        <w:rPr>
          <w:rFonts w:ascii="Times New Roman" w:eastAsia="Times New Roman" w:hAnsi="Times New Roman" w:cs="Times New Roman"/>
          <w:color w:val="000000"/>
          <w:sz w:val="24"/>
          <w:szCs w:val="24"/>
        </w:rPr>
        <w:t>n</w:t>
      </w:r>
      <w:r w:rsidRPr="00585079">
        <w:rPr>
          <w:rFonts w:ascii="Times New Roman" w:eastAsia="Times New Roman" w:hAnsi="Times New Roman" w:cs="Times New Roman"/>
          <w:color w:val="000000"/>
          <w:sz w:val="24"/>
          <w:szCs w:val="24"/>
        </w:rPr>
        <w:t xml:space="preserve"> Exchange of </w:t>
      </w:r>
      <w:r w:rsidR="00CE0011">
        <w:rPr>
          <w:rFonts w:ascii="Times New Roman" w:eastAsia="Times New Roman" w:hAnsi="Times New Roman" w:cs="Times New Roman"/>
          <w:color w:val="000000"/>
          <w:sz w:val="24"/>
          <w:szCs w:val="24"/>
        </w:rPr>
        <w:t>Indelible</w:t>
      </w:r>
      <w:r w:rsidRPr="00585079">
        <w:rPr>
          <w:rFonts w:ascii="Times New Roman" w:eastAsia="Times New Roman" w:hAnsi="Times New Roman" w:cs="Times New Roman"/>
          <w:color w:val="000000"/>
          <w:sz w:val="24"/>
          <w:szCs w:val="24"/>
        </w:rPr>
        <w:t xml:space="preserve"> Influences</w:t>
      </w:r>
    </w:p>
    <w:p w:rsidR="00585079" w:rsidRDefault="00585079" w:rsidP="00585079">
      <w:pPr>
        <w:spacing w:after="240" w:line="240" w:lineRule="auto"/>
        <w:rPr>
          <w:rFonts w:ascii="Times New Roman" w:eastAsia="Times New Roman" w:hAnsi="Times New Roman" w:cs="Times New Roman"/>
          <w:sz w:val="24"/>
          <w:szCs w:val="24"/>
        </w:rPr>
      </w:pPr>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r w:rsidRPr="00585079">
        <w:rPr>
          <w:rFonts w:ascii="Times New Roman" w:eastAsia="Times New Roman" w:hAnsi="Times New Roman" w:cs="Times New Roman"/>
          <w:sz w:val="24"/>
          <w:szCs w:val="24"/>
        </w:rPr>
        <w:br/>
      </w:r>
    </w:p>
    <w:p w:rsidR="00585079" w:rsidRDefault="00585079" w:rsidP="00585079">
      <w:pPr>
        <w:spacing w:after="240" w:line="240" w:lineRule="auto"/>
        <w:rPr>
          <w:rFonts w:ascii="Times New Roman" w:eastAsia="Times New Roman" w:hAnsi="Times New Roman" w:cs="Times New Roman"/>
          <w:sz w:val="24"/>
          <w:szCs w:val="24"/>
        </w:rPr>
      </w:pPr>
    </w:p>
    <w:p w:rsidR="00585079" w:rsidRDefault="00585079" w:rsidP="00585079">
      <w:pPr>
        <w:spacing w:after="240" w:line="240" w:lineRule="auto"/>
        <w:rPr>
          <w:rFonts w:ascii="Times New Roman" w:eastAsia="Times New Roman" w:hAnsi="Times New Roman" w:cs="Times New Roman"/>
          <w:sz w:val="24"/>
          <w:szCs w:val="24"/>
        </w:rPr>
      </w:pPr>
    </w:p>
    <w:p w:rsidR="00585079" w:rsidRDefault="00585079" w:rsidP="00585079">
      <w:pPr>
        <w:spacing w:after="240" w:line="240" w:lineRule="auto"/>
        <w:rPr>
          <w:rFonts w:ascii="Times New Roman" w:eastAsia="Times New Roman" w:hAnsi="Times New Roman" w:cs="Times New Roman"/>
          <w:sz w:val="24"/>
          <w:szCs w:val="24"/>
        </w:rPr>
      </w:pPr>
    </w:p>
    <w:p w:rsidR="00585079" w:rsidRDefault="00585079" w:rsidP="00585079">
      <w:pPr>
        <w:spacing w:after="240" w:line="240" w:lineRule="auto"/>
        <w:rPr>
          <w:rFonts w:ascii="Times New Roman" w:eastAsia="Times New Roman" w:hAnsi="Times New Roman" w:cs="Times New Roman"/>
          <w:sz w:val="24"/>
          <w:szCs w:val="24"/>
        </w:rPr>
      </w:pPr>
    </w:p>
    <w:p w:rsidR="00585079" w:rsidRDefault="00585079" w:rsidP="00585079">
      <w:pPr>
        <w:spacing w:after="240" w:line="240" w:lineRule="auto"/>
        <w:rPr>
          <w:rFonts w:ascii="Times New Roman" w:eastAsia="Times New Roman" w:hAnsi="Times New Roman" w:cs="Times New Roman"/>
          <w:sz w:val="24"/>
          <w:szCs w:val="24"/>
        </w:rPr>
      </w:pPr>
    </w:p>
    <w:p w:rsidR="00585079" w:rsidRDefault="00585079" w:rsidP="00585079">
      <w:pPr>
        <w:spacing w:after="240" w:line="240" w:lineRule="auto"/>
        <w:rPr>
          <w:rFonts w:ascii="Times New Roman" w:eastAsia="Times New Roman" w:hAnsi="Times New Roman" w:cs="Times New Roman"/>
          <w:sz w:val="24"/>
          <w:szCs w:val="24"/>
        </w:rPr>
      </w:pPr>
    </w:p>
    <w:p w:rsidR="00585079" w:rsidRDefault="00585079" w:rsidP="00585079">
      <w:pPr>
        <w:spacing w:after="240" w:line="240" w:lineRule="auto"/>
        <w:rPr>
          <w:rFonts w:ascii="Times New Roman" w:eastAsia="Times New Roman" w:hAnsi="Times New Roman" w:cs="Times New Roman"/>
          <w:sz w:val="24"/>
          <w:szCs w:val="24"/>
        </w:rPr>
      </w:pPr>
    </w:p>
    <w:p w:rsidR="00585079" w:rsidRDefault="00585079" w:rsidP="00585079">
      <w:pPr>
        <w:spacing w:after="240" w:line="240" w:lineRule="auto"/>
        <w:rPr>
          <w:rFonts w:ascii="Times New Roman" w:eastAsia="Times New Roman" w:hAnsi="Times New Roman" w:cs="Times New Roman"/>
          <w:sz w:val="24"/>
          <w:szCs w:val="24"/>
        </w:rPr>
      </w:pPr>
    </w:p>
    <w:p w:rsidR="00585079" w:rsidRPr="00585079" w:rsidRDefault="00585079" w:rsidP="00585079">
      <w:pPr>
        <w:spacing w:after="240" w:line="240" w:lineRule="auto"/>
        <w:rPr>
          <w:rFonts w:ascii="Times New Roman" w:eastAsia="Times New Roman" w:hAnsi="Times New Roman" w:cs="Times New Roman"/>
          <w:sz w:val="24"/>
          <w:szCs w:val="24"/>
        </w:rPr>
      </w:pPr>
    </w:p>
    <w:p w:rsidR="00585079" w:rsidRPr="00585079" w:rsidRDefault="00585079" w:rsidP="00585079">
      <w:pPr>
        <w:spacing w:after="0" w:line="240" w:lineRule="auto"/>
        <w:jc w:val="center"/>
        <w:rPr>
          <w:rFonts w:ascii="Times New Roman" w:eastAsia="Times New Roman" w:hAnsi="Times New Roman" w:cs="Times New Roman"/>
          <w:sz w:val="24"/>
          <w:szCs w:val="24"/>
        </w:rPr>
      </w:pPr>
      <w:r w:rsidRPr="00585079">
        <w:rPr>
          <w:rFonts w:ascii="Times New Roman" w:eastAsia="Times New Roman" w:hAnsi="Times New Roman" w:cs="Times New Roman"/>
          <w:color w:val="000000"/>
          <w:sz w:val="24"/>
          <w:szCs w:val="24"/>
        </w:rPr>
        <w:t>Grace Li</w:t>
      </w:r>
    </w:p>
    <w:p w:rsidR="00585079" w:rsidRPr="00585079" w:rsidRDefault="00585079" w:rsidP="00585079">
      <w:pPr>
        <w:spacing w:after="0" w:line="240" w:lineRule="auto"/>
        <w:jc w:val="center"/>
        <w:rPr>
          <w:rFonts w:ascii="Times New Roman" w:eastAsia="Times New Roman" w:hAnsi="Times New Roman" w:cs="Times New Roman"/>
          <w:sz w:val="24"/>
          <w:szCs w:val="24"/>
        </w:rPr>
      </w:pPr>
      <w:r w:rsidRPr="00585079">
        <w:rPr>
          <w:rFonts w:ascii="Times New Roman" w:eastAsia="Times New Roman" w:hAnsi="Times New Roman" w:cs="Times New Roman"/>
          <w:color w:val="000000"/>
          <w:sz w:val="24"/>
          <w:szCs w:val="24"/>
        </w:rPr>
        <w:t>Senior Division</w:t>
      </w:r>
    </w:p>
    <w:p w:rsidR="00585079" w:rsidRPr="00585079" w:rsidRDefault="009A45F4" w:rsidP="0058507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Historical </w:t>
      </w:r>
      <w:r w:rsidR="00585079" w:rsidRPr="00585079">
        <w:rPr>
          <w:rFonts w:ascii="Times New Roman" w:eastAsia="Times New Roman" w:hAnsi="Times New Roman" w:cs="Times New Roman"/>
          <w:color w:val="000000"/>
          <w:sz w:val="24"/>
          <w:szCs w:val="24"/>
        </w:rPr>
        <w:t>Paper</w:t>
      </w:r>
    </w:p>
    <w:p w:rsidR="00604179" w:rsidRDefault="008674BB" w:rsidP="0060417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4E0CDC">
        <w:rPr>
          <w:rFonts w:ascii="Times New Roman" w:eastAsia="Times New Roman" w:hAnsi="Times New Roman" w:cs="Times New Roman"/>
          <w:color w:val="000000"/>
          <w:sz w:val="24"/>
          <w:szCs w:val="24"/>
        </w:rPr>
        <w:t>1</w:t>
      </w:r>
      <w:r w:rsidR="008B7DF7">
        <w:rPr>
          <w:rFonts w:ascii="Times New Roman" w:eastAsia="Times New Roman" w:hAnsi="Times New Roman" w:cs="Times New Roman"/>
          <w:color w:val="000000"/>
          <w:sz w:val="24"/>
          <w:szCs w:val="24"/>
        </w:rPr>
        <w:t>39</w:t>
      </w:r>
      <w:r w:rsidR="009A45F4">
        <w:rPr>
          <w:rFonts w:ascii="Times New Roman" w:eastAsia="Times New Roman" w:hAnsi="Times New Roman" w:cs="Times New Roman"/>
          <w:color w:val="000000"/>
          <w:sz w:val="24"/>
          <w:szCs w:val="24"/>
        </w:rPr>
        <w:t xml:space="preserve"> W</w:t>
      </w:r>
      <w:r w:rsidR="00585079">
        <w:rPr>
          <w:rFonts w:ascii="Times New Roman" w:eastAsia="Times New Roman" w:hAnsi="Times New Roman" w:cs="Times New Roman"/>
          <w:color w:val="000000"/>
          <w:sz w:val="24"/>
          <w:szCs w:val="24"/>
        </w:rPr>
        <w:t>ords</w:t>
      </w:r>
    </w:p>
    <w:p w:rsidR="009A45F4" w:rsidRDefault="009A45F4" w:rsidP="00604179">
      <w:pPr>
        <w:spacing w:after="0" w:line="240" w:lineRule="auto"/>
        <w:jc w:val="center"/>
        <w:rPr>
          <w:rFonts w:ascii="Times New Roman" w:eastAsia="Times New Roman" w:hAnsi="Times New Roman" w:cs="Times New Roman"/>
          <w:color w:val="000000"/>
          <w:sz w:val="24"/>
          <w:szCs w:val="24"/>
        </w:rPr>
      </w:pPr>
    </w:p>
    <w:p w:rsidR="00F05C41" w:rsidRPr="00F05C41" w:rsidRDefault="006165C8" w:rsidP="00BC0154">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 the Age of Exploration, every major European power had only one ultimate destination in mind: Asia, and more specifically, India.  The overland silk roads were too dangerous and too slow, unable to keep up with Europe’s increasing demand for exotic goods and spices.  </w:t>
      </w:r>
      <w:r w:rsidR="00BE406D">
        <w:rPr>
          <w:rFonts w:ascii="Times New Roman" w:eastAsia="Times New Roman" w:hAnsi="Times New Roman" w:cs="Times New Roman"/>
          <w:color w:val="000000"/>
          <w:sz w:val="24"/>
          <w:szCs w:val="24"/>
        </w:rPr>
        <w:t>Portuguese m</w:t>
      </w:r>
      <w:r>
        <w:rPr>
          <w:rFonts w:ascii="Times New Roman" w:eastAsia="Times New Roman" w:hAnsi="Times New Roman" w:cs="Times New Roman"/>
          <w:color w:val="000000"/>
          <w:sz w:val="24"/>
          <w:szCs w:val="24"/>
        </w:rPr>
        <w:t xml:space="preserve">erchant-sailors </w:t>
      </w:r>
      <w:r w:rsidR="00BE406D">
        <w:rPr>
          <w:rFonts w:ascii="Times New Roman" w:eastAsia="Times New Roman" w:hAnsi="Times New Roman" w:cs="Times New Roman"/>
          <w:color w:val="000000"/>
          <w:sz w:val="24"/>
          <w:szCs w:val="24"/>
        </w:rPr>
        <w:t xml:space="preserve">were the first to discover a sea route to India and establish direct trade relations with the Indian princes, </w:t>
      </w:r>
      <w:r w:rsidR="00A614D8">
        <w:rPr>
          <w:rFonts w:ascii="Times New Roman" w:eastAsia="Times New Roman" w:hAnsi="Times New Roman" w:cs="Times New Roman"/>
          <w:color w:val="000000"/>
          <w:sz w:val="24"/>
          <w:szCs w:val="24"/>
        </w:rPr>
        <w:t xml:space="preserve">but </w:t>
      </w:r>
      <w:r w:rsidR="00BE406D">
        <w:rPr>
          <w:rFonts w:ascii="Times New Roman" w:eastAsia="Times New Roman" w:hAnsi="Times New Roman" w:cs="Times New Roman"/>
          <w:color w:val="000000"/>
          <w:sz w:val="24"/>
          <w:szCs w:val="24"/>
        </w:rPr>
        <w:t xml:space="preserve">the British and Dutch were not far behind.  Soon, the British </w:t>
      </w:r>
      <w:r w:rsidR="00A614D8">
        <w:rPr>
          <w:rFonts w:ascii="Times New Roman" w:eastAsia="Times New Roman" w:hAnsi="Times New Roman" w:cs="Times New Roman"/>
          <w:color w:val="000000"/>
          <w:sz w:val="24"/>
          <w:szCs w:val="24"/>
        </w:rPr>
        <w:t>usurped the Portuguese</w:t>
      </w:r>
      <w:r w:rsidR="00BE406D">
        <w:rPr>
          <w:rFonts w:ascii="Times New Roman" w:eastAsia="Times New Roman" w:hAnsi="Times New Roman" w:cs="Times New Roman"/>
          <w:color w:val="000000"/>
          <w:sz w:val="24"/>
          <w:szCs w:val="24"/>
        </w:rPr>
        <w:t xml:space="preserve"> and added </w:t>
      </w:r>
      <w:r w:rsidR="00A614D8">
        <w:rPr>
          <w:rFonts w:ascii="Times New Roman" w:eastAsia="Times New Roman" w:hAnsi="Times New Roman" w:cs="Times New Roman"/>
          <w:color w:val="000000"/>
          <w:sz w:val="24"/>
          <w:szCs w:val="24"/>
        </w:rPr>
        <w:t>India</w:t>
      </w:r>
      <w:r w:rsidR="00BE406D">
        <w:rPr>
          <w:rFonts w:ascii="Times New Roman" w:eastAsia="Times New Roman" w:hAnsi="Times New Roman" w:cs="Times New Roman"/>
          <w:color w:val="000000"/>
          <w:sz w:val="24"/>
          <w:szCs w:val="24"/>
        </w:rPr>
        <w:t xml:space="preserve"> to its</w:t>
      </w:r>
      <w:r w:rsidR="00A614D8">
        <w:rPr>
          <w:rFonts w:ascii="Times New Roman" w:eastAsia="Times New Roman" w:hAnsi="Times New Roman" w:cs="Times New Roman"/>
          <w:color w:val="000000"/>
          <w:sz w:val="24"/>
          <w:szCs w:val="24"/>
        </w:rPr>
        <w:t xml:space="preserve"> growing global empire.</w:t>
      </w:r>
      <w:r w:rsidR="00BE406D">
        <w:rPr>
          <w:rFonts w:ascii="Times New Roman" w:eastAsia="Times New Roman" w:hAnsi="Times New Roman" w:cs="Times New Roman"/>
          <w:color w:val="000000"/>
          <w:sz w:val="24"/>
          <w:szCs w:val="24"/>
        </w:rPr>
        <w:t xml:space="preserve"> </w:t>
      </w:r>
      <w:r w:rsidR="00A614D8">
        <w:rPr>
          <w:rFonts w:ascii="Times New Roman" w:eastAsia="Times New Roman" w:hAnsi="Times New Roman" w:cs="Times New Roman"/>
          <w:color w:val="000000"/>
          <w:sz w:val="24"/>
          <w:szCs w:val="24"/>
        </w:rPr>
        <w:t xml:space="preserve"> Although British rule in India was often oppressive and violent, </w:t>
      </w:r>
      <w:r w:rsidR="00F05C41">
        <w:rPr>
          <w:rFonts w:ascii="Times New Roman" w:eastAsia="Times New Roman" w:hAnsi="Times New Roman" w:cs="Times New Roman"/>
          <w:color w:val="000000"/>
          <w:sz w:val="24"/>
          <w:szCs w:val="24"/>
        </w:rPr>
        <w:t>British colonization of India led to an exchange between both societies that greatly influenced the trade, politics, and culture of each.</w:t>
      </w:r>
    </w:p>
    <w:p w:rsidR="0064783F" w:rsidRDefault="00A614D8" w:rsidP="00860E07">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Britain and India’s shared history began on </w:t>
      </w:r>
      <w:r w:rsidR="00F02E1D">
        <w:rPr>
          <w:rFonts w:ascii="Times New Roman" w:eastAsia="Times New Roman" w:hAnsi="Times New Roman" w:cs="Times New Roman"/>
          <w:color w:val="000000"/>
          <w:sz w:val="24"/>
          <w:szCs w:val="24"/>
        </w:rPr>
        <w:t>31 January</w:t>
      </w:r>
      <w:r>
        <w:rPr>
          <w:rFonts w:ascii="Times New Roman" w:eastAsia="Times New Roman" w:hAnsi="Times New Roman" w:cs="Times New Roman"/>
          <w:color w:val="000000"/>
          <w:sz w:val="24"/>
          <w:szCs w:val="24"/>
        </w:rPr>
        <w:t xml:space="preserve"> 1600, </w:t>
      </w:r>
      <w:r w:rsidR="00083961">
        <w:rPr>
          <w:rFonts w:ascii="Times New Roman" w:eastAsia="Times New Roman" w:hAnsi="Times New Roman" w:cs="Times New Roman"/>
          <w:color w:val="000000"/>
          <w:sz w:val="24"/>
          <w:szCs w:val="24"/>
        </w:rPr>
        <w:t>when</w:t>
      </w:r>
      <w:r>
        <w:rPr>
          <w:rFonts w:ascii="Times New Roman" w:eastAsia="Times New Roman" w:hAnsi="Times New Roman" w:cs="Times New Roman"/>
          <w:color w:val="000000"/>
          <w:sz w:val="24"/>
          <w:szCs w:val="24"/>
        </w:rPr>
        <w:t xml:space="preserve"> </w:t>
      </w:r>
      <w:r w:rsidR="00083961">
        <w:rPr>
          <w:rFonts w:ascii="Times New Roman" w:eastAsia="Times New Roman" w:hAnsi="Times New Roman" w:cs="Times New Roman"/>
          <w:color w:val="000000"/>
          <w:sz w:val="24"/>
          <w:szCs w:val="24"/>
        </w:rPr>
        <w:t>Queen Elizabeth I</w:t>
      </w:r>
      <w:r>
        <w:rPr>
          <w:rFonts w:ascii="Times New Roman" w:eastAsia="Times New Roman" w:hAnsi="Times New Roman" w:cs="Times New Roman"/>
          <w:color w:val="000000"/>
          <w:sz w:val="24"/>
          <w:szCs w:val="24"/>
        </w:rPr>
        <w:t xml:space="preserve"> authoriz</w:t>
      </w:r>
      <w:r w:rsidR="00083961">
        <w:rPr>
          <w:rFonts w:ascii="Times New Roman" w:eastAsia="Times New Roman" w:hAnsi="Times New Roman" w:cs="Times New Roman"/>
          <w:color w:val="000000"/>
          <w:sz w:val="24"/>
          <w:szCs w:val="24"/>
        </w:rPr>
        <w:t>ed</w:t>
      </w:r>
      <w:r>
        <w:rPr>
          <w:rFonts w:ascii="Times New Roman" w:eastAsia="Times New Roman" w:hAnsi="Times New Roman" w:cs="Times New Roman"/>
          <w:color w:val="000000"/>
          <w:sz w:val="24"/>
          <w:szCs w:val="24"/>
        </w:rPr>
        <w:t xml:space="preserve"> the charter of the </w:t>
      </w:r>
      <w:r w:rsidR="003A4A3C">
        <w:rPr>
          <w:rFonts w:ascii="Times New Roman" w:eastAsia="Times New Roman" w:hAnsi="Times New Roman" w:cs="Times New Roman"/>
          <w:color w:val="000000"/>
          <w:sz w:val="24"/>
          <w:szCs w:val="24"/>
        </w:rPr>
        <w:t>English</w:t>
      </w:r>
      <w:r>
        <w:rPr>
          <w:rFonts w:ascii="Times New Roman" w:eastAsia="Times New Roman" w:hAnsi="Times New Roman" w:cs="Times New Roman"/>
          <w:color w:val="000000"/>
          <w:sz w:val="24"/>
          <w:szCs w:val="24"/>
        </w:rPr>
        <w:t xml:space="preserve"> East India Company</w:t>
      </w:r>
      <w:r w:rsidR="00083961">
        <w:rPr>
          <w:rFonts w:ascii="Times New Roman" w:eastAsia="Times New Roman" w:hAnsi="Times New Roman" w:cs="Times New Roman"/>
          <w:color w:val="000000"/>
          <w:sz w:val="24"/>
          <w:szCs w:val="24"/>
        </w:rPr>
        <w:t>, a</w:t>
      </w:r>
      <w:r w:rsidR="003A4A3C">
        <w:rPr>
          <w:rFonts w:ascii="Times New Roman" w:eastAsia="Times New Roman" w:hAnsi="Times New Roman" w:cs="Times New Roman"/>
          <w:color w:val="000000"/>
          <w:sz w:val="24"/>
          <w:szCs w:val="24"/>
        </w:rPr>
        <w:t xml:space="preserve"> joint-stock company competing to monopolize</w:t>
      </w:r>
      <w:r w:rsidR="00083961">
        <w:rPr>
          <w:rFonts w:ascii="Times New Roman" w:eastAsia="Times New Roman" w:hAnsi="Times New Roman" w:cs="Times New Roman"/>
          <w:color w:val="000000"/>
          <w:sz w:val="24"/>
          <w:szCs w:val="24"/>
        </w:rPr>
        <w:t xml:space="preserve"> the lucrative Asian spice trade.</w:t>
      </w:r>
      <w:r w:rsidR="00083961">
        <w:rPr>
          <w:rStyle w:val="FootnoteReference"/>
          <w:rFonts w:ascii="Times New Roman" w:eastAsia="Times New Roman" w:hAnsi="Times New Roman" w:cs="Times New Roman"/>
          <w:color w:val="000000"/>
          <w:sz w:val="24"/>
          <w:szCs w:val="24"/>
        </w:rPr>
        <w:footnoteReference w:id="1"/>
      </w:r>
      <w:r w:rsidR="00860E07">
        <w:rPr>
          <w:rFonts w:ascii="Times New Roman" w:eastAsia="Times New Roman" w:hAnsi="Times New Roman" w:cs="Times New Roman"/>
          <w:color w:val="000000"/>
          <w:sz w:val="24"/>
          <w:szCs w:val="24"/>
        </w:rPr>
        <w:t xml:space="preserve">  </w:t>
      </w:r>
      <w:r w:rsidR="003A4A3C">
        <w:rPr>
          <w:rFonts w:ascii="Times New Roman" w:eastAsia="Times New Roman" w:hAnsi="Times New Roman" w:cs="Times New Roman"/>
          <w:color w:val="000000"/>
          <w:sz w:val="24"/>
          <w:szCs w:val="24"/>
        </w:rPr>
        <w:t>During that same time period</w:t>
      </w:r>
      <w:r w:rsidR="00860E07">
        <w:rPr>
          <w:rFonts w:ascii="Times New Roman" w:eastAsia="Times New Roman" w:hAnsi="Times New Roman" w:cs="Times New Roman"/>
          <w:color w:val="000000"/>
          <w:sz w:val="24"/>
          <w:szCs w:val="24"/>
        </w:rPr>
        <w:t>, the Mughal Empire in India was in a state of decline and began to splinter into regional kingdoms ruled by warring princes; the East India Company took advantage of the power vacuum left behind by the Mughals and expanded control until British forces occupied most of the Indian subcontinent.</w:t>
      </w:r>
      <w:r w:rsidR="00860E07">
        <w:rPr>
          <w:rStyle w:val="FootnoteReference"/>
          <w:rFonts w:ascii="Times New Roman" w:eastAsia="Times New Roman" w:hAnsi="Times New Roman" w:cs="Times New Roman"/>
          <w:color w:val="000000"/>
          <w:sz w:val="24"/>
          <w:szCs w:val="24"/>
        </w:rPr>
        <w:footnoteReference w:id="2"/>
      </w:r>
      <w:r w:rsidR="00717206">
        <w:rPr>
          <w:rFonts w:ascii="Times New Roman" w:eastAsia="Times New Roman" w:hAnsi="Times New Roman" w:cs="Times New Roman"/>
          <w:color w:val="000000"/>
          <w:sz w:val="24"/>
          <w:szCs w:val="24"/>
        </w:rPr>
        <w:t xml:space="preserve">  </w:t>
      </w:r>
      <w:r w:rsidR="00994E50">
        <w:rPr>
          <w:rFonts w:ascii="Times New Roman" w:eastAsia="Times New Roman" w:hAnsi="Times New Roman" w:cs="Times New Roman"/>
          <w:color w:val="000000"/>
          <w:sz w:val="24"/>
          <w:szCs w:val="24"/>
        </w:rPr>
        <w:t>The company’s unifying rule brought political stability and peace, albeit temporary, to India.</w:t>
      </w:r>
    </w:p>
    <w:p w:rsidR="00A108FF" w:rsidRDefault="00717206" w:rsidP="0064783F">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East India Company, </w:t>
      </w:r>
      <w:r w:rsidR="00E9039E">
        <w:rPr>
          <w:rFonts w:ascii="Times New Roman" w:eastAsia="Times New Roman" w:hAnsi="Times New Roman" w:cs="Times New Roman"/>
          <w:color w:val="000000"/>
          <w:sz w:val="24"/>
          <w:szCs w:val="24"/>
        </w:rPr>
        <w:t>partnering</w:t>
      </w:r>
      <w:r>
        <w:rPr>
          <w:rFonts w:ascii="Times New Roman" w:eastAsia="Times New Roman" w:hAnsi="Times New Roman" w:cs="Times New Roman"/>
          <w:color w:val="000000"/>
          <w:sz w:val="24"/>
          <w:szCs w:val="24"/>
        </w:rPr>
        <w:t xml:space="preserve"> with the Dutch East India Company, found the spice trade to be as profitable as they had imagined.  Wealthy elites in Europe could not get enough of the flavorful, exotic spices – in the early seventeenth century, “some 7 million pounds (about 3.2 million kilos) of pepper were shipped annually to Europe, with 5.6 million pounds (about 2.5 </w:t>
      </w:r>
      <w:r>
        <w:rPr>
          <w:rFonts w:ascii="Times New Roman" w:eastAsia="Times New Roman" w:hAnsi="Times New Roman" w:cs="Times New Roman"/>
          <w:color w:val="000000"/>
          <w:sz w:val="24"/>
          <w:szCs w:val="24"/>
        </w:rPr>
        <w:lastRenderedPageBreak/>
        <w:t>million kilos) per year shared between London and Amsterdam.”</w:t>
      </w:r>
      <w:r>
        <w:rPr>
          <w:rStyle w:val="FootnoteReference"/>
          <w:rFonts w:ascii="Times New Roman" w:eastAsia="Times New Roman" w:hAnsi="Times New Roman" w:cs="Times New Roman"/>
          <w:color w:val="000000"/>
          <w:sz w:val="24"/>
          <w:szCs w:val="24"/>
        </w:rPr>
        <w:footnoteReference w:id="3"/>
      </w:r>
      <w:r>
        <w:rPr>
          <w:rFonts w:ascii="Times New Roman" w:eastAsia="Times New Roman" w:hAnsi="Times New Roman" w:cs="Times New Roman"/>
          <w:color w:val="000000"/>
          <w:sz w:val="24"/>
          <w:szCs w:val="24"/>
        </w:rPr>
        <w:t xml:space="preserve">  </w:t>
      </w:r>
      <w:r w:rsidR="003A01A1">
        <w:rPr>
          <w:rFonts w:ascii="Times New Roman" w:eastAsia="Times New Roman" w:hAnsi="Times New Roman" w:cs="Times New Roman"/>
          <w:color w:val="000000"/>
          <w:sz w:val="24"/>
          <w:szCs w:val="24"/>
        </w:rPr>
        <w:t>London became</w:t>
      </w:r>
      <w:r>
        <w:rPr>
          <w:rFonts w:ascii="Times New Roman" w:eastAsia="Times New Roman" w:hAnsi="Times New Roman" w:cs="Times New Roman"/>
          <w:color w:val="000000"/>
          <w:sz w:val="24"/>
          <w:szCs w:val="24"/>
        </w:rPr>
        <w:t xml:space="preserve"> “the greatest spice market </w:t>
      </w:r>
      <w:r w:rsidR="008B5FAE">
        <w:rPr>
          <w:rFonts w:ascii="Times New Roman" w:eastAsia="Times New Roman" w:hAnsi="Times New Roman" w:cs="Times New Roman"/>
          <w:color w:val="000000"/>
          <w:sz w:val="24"/>
          <w:szCs w:val="24"/>
        </w:rPr>
        <w:t>in the world.</w:t>
      </w:r>
      <w:r>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4"/>
      </w:r>
      <w:r w:rsidR="003A01A1">
        <w:rPr>
          <w:rFonts w:ascii="Times New Roman" w:eastAsia="Times New Roman" w:hAnsi="Times New Roman" w:cs="Times New Roman"/>
          <w:color w:val="000000"/>
          <w:sz w:val="24"/>
          <w:szCs w:val="24"/>
        </w:rPr>
        <w:t xml:space="preserve">  </w:t>
      </w:r>
    </w:p>
    <w:p w:rsidR="00860E07" w:rsidRDefault="00495058" w:rsidP="00BC0154">
      <w:pPr>
        <w:spacing w:after="0"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spice trade had lured the British to India, but </w:t>
      </w:r>
      <w:r w:rsidR="008B5FAE">
        <w:rPr>
          <w:rFonts w:ascii="Times New Roman" w:eastAsia="Times New Roman" w:hAnsi="Times New Roman" w:cs="Times New Roman"/>
          <w:color w:val="000000"/>
          <w:sz w:val="24"/>
          <w:szCs w:val="24"/>
        </w:rPr>
        <w:t xml:space="preserve">they also discovered a new market for Indian textiles, which </w:t>
      </w:r>
      <w:r>
        <w:rPr>
          <w:rFonts w:ascii="Times New Roman" w:eastAsia="Times New Roman" w:hAnsi="Times New Roman" w:cs="Times New Roman"/>
          <w:color w:val="000000"/>
          <w:sz w:val="24"/>
          <w:szCs w:val="24"/>
        </w:rPr>
        <w:t xml:space="preserve">became the major export of the East India Company.  </w:t>
      </w:r>
      <w:r w:rsidR="00A108FF">
        <w:rPr>
          <w:rFonts w:ascii="Times New Roman" w:eastAsia="Times New Roman" w:hAnsi="Times New Roman" w:cs="Times New Roman"/>
          <w:color w:val="000000"/>
          <w:sz w:val="24"/>
          <w:szCs w:val="24"/>
        </w:rPr>
        <w:t xml:space="preserve">Indian artisans had perfected the </w:t>
      </w:r>
      <w:r w:rsidR="00E9039E">
        <w:rPr>
          <w:rFonts w:ascii="Times New Roman" w:eastAsia="Times New Roman" w:hAnsi="Times New Roman" w:cs="Times New Roman"/>
          <w:color w:val="000000"/>
          <w:sz w:val="24"/>
          <w:szCs w:val="24"/>
        </w:rPr>
        <w:t>art of weaving over 5,000 years</w:t>
      </w:r>
      <w:r w:rsidR="00A108FF">
        <w:rPr>
          <w:rFonts w:ascii="Times New Roman" w:eastAsia="Times New Roman" w:hAnsi="Times New Roman" w:cs="Times New Roman"/>
          <w:color w:val="000000"/>
          <w:sz w:val="24"/>
          <w:szCs w:val="24"/>
        </w:rPr>
        <w:t>, much to the delight of European women</w:t>
      </w:r>
      <w:r w:rsidR="00E9039E">
        <w:rPr>
          <w:rFonts w:ascii="Times New Roman" w:eastAsia="Times New Roman" w:hAnsi="Times New Roman" w:cs="Times New Roman"/>
          <w:color w:val="000000"/>
          <w:sz w:val="24"/>
          <w:szCs w:val="24"/>
        </w:rPr>
        <w:t xml:space="preserve"> in the eighteenth century</w:t>
      </w:r>
      <w:r w:rsidR="00A108FF">
        <w:rPr>
          <w:rFonts w:ascii="Times New Roman" w:eastAsia="Times New Roman" w:hAnsi="Times New Roman" w:cs="Times New Roman"/>
          <w:color w:val="000000"/>
          <w:sz w:val="24"/>
          <w:szCs w:val="24"/>
        </w:rPr>
        <w:t>.</w:t>
      </w:r>
      <w:r w:rsidR="003A01A1">
        <w:rPr>
          <w:rStyle w:val="FootnoteReference"/>
          <w:rFonts w:ascii="Times New Roman" w:eastAsia="Times New Roman" w:hAnsi="Times New Roman" w:cs="Times New Roman"/>
          <w:color w:val="000000"/>
          <w:sz w:val="24"/>
          <w:szCs w:val="24"/>
        </w:rPr>
        <w:footnoteReference w:id="5"/>
      </w:r>
      <w:r w:rsidR="00A108FF">
        <w:rPr>
          <w:rFonts w:ascii="Times New Roman" w:eastAsia="Times New Roman" w:hAnsi="Times New Roman" w:cs="Times New Roman"/>
          <w:color w:val="000000"/>
          <w:sz w:val="24"/>
          <w:szCs w:val="24"/>
        </w:rPr>
        <w:t xml:space="preserve">  </w:t>
      </w:r>
      <w:r w:rsidR="00310C31">
        <w:rPr>
          <w:rFonts w:ascii="Times New Roman" w:eastAsia="Times New Roman" w:hAnsi="Times New Roman" w:cs="Times New Roman"/>
          <w:color w:val="000000"/>
          <w:sz w:val="24"/>
          <w:szCs w:val="24"/>
        </w:rPr>
        <w:t>Dresses</w:t>
      </w:r>
      <w:r w:rsidR="00577249">
        <w:rPr>
          <w:rFonts w:ascii="Times New Roman" w:eastAsia="Times New Roman" w:hAnsi="Times New Roman" w:cs="Times New Roman"/>
          <w:color w:val="000000"/>
          <w:sz w:val="24"/>
          <w:szCs w:val="24"/>
        </w:rPr>
        <w:t xml:space="preserve"> made of chintz – high quality Indian cotton calico, hand-painted or hand-printed with brightly dyed floral patterns – </w:t>
      </w:r>
      <w:r w:rsidR="00310C31">
        <w:rPr>
          <w:rFonts w:ascii="Times New Roman" w:eastAsia="Times New Roman" w:hAnsi="Times New Roman" w:cs="Times New Roman"/>
          <w:color w:val="000000"/>
          <w:sz w:val="24"/>
          <w:szCs w:val="24"/>
        </w:rPr>
        <w:t xml:space="preserve">became </w:t>
      </w:r>
      <w:r w:rsidR="00E9039E">
        <w:rPr>
          <w:rFonts w:ascii="Times New Roman" w:eastAsia="Times New Roman" w:hAnsi="Times New Roman" w:cs="Times New Roman"/>
          <w:color w:val="000000"/>
          <w:sz w:val="24"/>
          <w:szCs w:val="24"/>
        </w:rPr>
        <w:t>the latest fashion</w:t>
      </w:r>
      <w:r w:rsidR="00310C31">
        <w:rPr>
          <w:rFonts w:ascii="Times New Roman" w:eastAsia="Times New Roman" w:hAnsi="Times New Roman" w:cs="Times New Roman"/>
          <w:color w:val="000000"/>
          <w:sz w:val="24"/>
          <w:szCs w:val="24"/>
        </w:rPr>
        <w:t xml:space="preserve"> in British society</w:t>
      </w:r>
      <w:r w:rsidR="00E9039E">
        <w:rPr>
          <w:rFonts w:ascii="Times New Roman" w:eastAsia="Times New Roman" w:hAnsi="Times New Roman" w:cs="Times New Roman"/>
          <w:color w:val="000000"/>
          <w:sz w:val="24"/>
          <w:szCs w:val="24"/>
        </w:rPr>
        <w:t>.</w:t>
      </w:r>
      <w:r w:rsidR="00E9039E">
        <w:rPr>
          <w:rStyle w:val="FootnoteReference"/>
          <w:rFonts w:ascii="Times New Roman" w:eastAsia="Times New Roman" w:hAnsi="Times New Roman" w:cs="Times New Roman"/>
          <w:color w:val="000000"/>
          <w:sz w:val="24"/>
          <w:szCs w:val="24"/>
        </w:rPr>
        <w:footnoteReference w:id="6"/>
      </w:r>
      <w:r w:rsidR="00577249">
        <w:rPr>
          <w:rFonts w:ascii="Times New Roman" w:eastAsia="Times New Roman" w:hAnsi="Times New Roman" w:cs="Times New Roman"/>
          <w:color w:val="000000"/>
          <w:sz w:val="24"/>
          <w:szCs w:val="24"/>
        </w:rPr>
        <w:t xml:space="preserve"> </w:t>
      </w:r>
      <w:r w:rsidR="00A25C9B">
        <w:rPr>
          <w:rFonts w:ascii="Times New Roman" w:eastAsia="Times New Roman" w:hAnsi="Times New Roman" w:cs="Times New Roman"/>
          <w:color w:val="000000"/>
          <w:sz w:val="24"/>
          <w:szCs w:val="24"/>
        </w:rPr>
        <w:t xml:space="preserve"> High demand </w:t>
      </w:r>
      <w:r w:rsidR="00310C31">
        <w:rPr>
          <w:rFonts w:ascii="Times New Roman" w:eastAsia="Times New Roman" w:hAnsi="Times New Roman" w:cs="Times New Roman"/>
          <w:color w:val="000000"/>
          <w:sz w:val="24"/>
          <w:szCs w:val="24"/>
        </w:rPr>
        <w:t xml:space="preserve">strengthened the Indian cotton industry and </w:t>
      </w:r>
      <w:r w:rsidR="00A25C9B">
        <w:rPr>
          <w:rFonts w:ascii="Times New Roman" w:eastAsia="Times New Roman" w:hAnsi="Times New Roman" w:cs="Times New Roman"/>
          <w:color w:val="000000"/>
          <w:sz w:val="24"/>
          <w:szCs w:val="24"/>
        </w:rPr>
        <w:t xml:space="preserve">threatened the English domestic textile industry, but </w:t>
      </w:r>
      <w:r w:rsidR="00310C31">
        <w:rPr>
          <w:rFonts w:ascii="Times New Roman" w:eastAsia="Times New Roman" w:hAnsi="Times New Roman" w:cs="Times New Roman"/>
          <w:color w:val="000000"/>
          <w:sz w:val="24"/>
          <w:szCs w:val="24"/>
        </w:rPr>
        <w:t xml:space="preserve">Parliament’s </w:t>
      </w:r>
      <w:r w:rsidR="00A25C9B">
        <w:rPr>
          <w:rFonts w:ascii="Times New Roman" w:eastAsia="Times New Roman" w:hAnsi="Times New Roman" w:cs="Times New Roman"/>
          <w:color w:val="000000"/>
          <w:sz w:val="24"/>
          <w:szCs w:val="24"/>
        </w:rPr>
        <w:t>tariffs and restrictive legislation could not stem the flow of Indian fabrics into Great Britain.</w:t>
      </w:r>
      <w:r w:rsidR="00A25C9B">
        <w:rPr>
          <w:rStyle w:val="FootnoteReference"/>
          <w:rFonts w:ascii="Times New Roman" w:eastAsia="Times New Roman" w:hAnsi="Times New Roman" w:cs="Times New Roman"/>
          <w:color w:val="000000"/>
          <w:sz w:val="24"/>
          <w:szCs w:val="24"/>
        </w:rPr>
        <w:footnoteReference w:id="7"/>
      </w:r>
      <w:r w:rsidR="00A25C9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Eventually, however, </w:t>
      </w:r>
      <w:r w:rsidR="00A25C9B">
        <w:rPr>
          <w:rFonts w:ascii="Times New Roman" w:eastAsia="Times New Roman" w:hAnsi="Times New Roman" w:cs="Times New Roman"/>
          <w:color w:val="000000"/>
          <w:sz w:val="24"/>
          <w:szCs w:val="24"/>
        </w:rPr>
        <w:t>the tide turned.  New machinery and manufacturing processes during the Industrial Revolution reinvigorated Britain’</w:t>
      </w:r>
      <w:r w:rsidR="00BC0154">
        <w:rPr>
          <w:rFonts w:ascii="Times New Roman" w:eastAsia="Times New Roman" w:hAnsi="Times New Roman" w:cs="Times New Roman"/>
          <w:color w:val="000000"/>
          <w:sz w:val="24"/>
          <w:szCs w:val="24"/>
        </w:rPr>
        <w:t xml:space="preserve">s textile </w:t>
      </w:r>
      <w:r w:rsidR="00D11BE6">
        <w:rPr>
          <w:rFonts w:ascii="Times New Roman" w:eastAsia="Times New Roman" w:hAnsi="Times New Roman" w:cs="Times New Roman"/>
          <w:color w:val="000000"/>
          <w:sz w:val="24"/>
          <w:szCs w:val="24"/>
        </w:rPr>
        <w:t>industry.</w:t>
      </w:r>
      <w:r w:rsidR="005908C0">
        <w:rPr>
          <w:rStyle w:val="FootnoteReference"/>
          <w:rFonts w:ascii="Times New Roman" w:eastAsia="Times New Roman" w:hAnsi="Times New Roman" w:cs="Times New Roman"/>
          <w:color w:val="000000"/>
          <w:sz w:val="24"/>
          <w:szCs w:val="24"/>
        </w:rPr>
        <w:footnoteReference w:id="8"/>
      </w:r>
      <w:r w:rsidR="00D11BE6">
        <w:rPr>
          <w:rFonts w:ascii="Times New Roman" w:eastAsia="Times New Roman" w:hAnsi="Times New Roman" w:cs="Times New Roman"/>
          <w:color w:val="000000"/>
          <w:sz w:val="24"/>
          <w:szCs w:val="24"/>
        </w:rPr>
        <w:t xml:space="preserve"> </w:t>
      </w:r>
      <w:r w:rsidR="005908C0">
        <w:rPr>
          <w:rFonts w:ascii="Times New Roman" w:eastAsia="Times New Roman" w:hAnsi="Times New Roman" w:cs="Times New Roman"/>
          <w:color w:val="000000"/>
          <w:sz w:val="24"/>
          <w:szCs w:val="24"/>
        </w:rPr>
        <w:t xml:space="preserve"> </w:t>
      </w:r>
      <w:r w:rsidR="00D11BE6">
        <w:rPr>
          <w:rFonts w:ascii="Times New Roman" w:eastAsia="Times New Roman" w:hAnsi="Times New Roman" w:cs="Times New Roman"/>
          <w:color w:val="000000"/>
          <w:sz w:val="24"/>
          <w:szCs w:val="24"/>
        </w:rPr>
        <w:t>Factories churned out</w:t>
      </w:r>
      <w:r w:rsidR="00BC0154">
        <w:rPr>
          <w:rFonts w:ascii="Times New Roman" w:eastAsia="Times New Roman" w:hAnsi="Times New Roman" w:cs="Times New Roman"/>
          <w:color w:val="000000"/>
          <w:sz w:val="24"/>
          <w:szCs w:val="24"/>
        </w:rPr>
        <w:t xml:space="preserve"> mass</w:t>
      </w:r>
      <w:r w:rsidR="00D11BE6">
        <w:rPr>
          <w:rFonts w:ascii="Times New Roman" w:eastAsia="Times New Roman" w:hAnsi="Times New Roman" w:cs="Times New Roman"/>
          <w:color w:val="000000"/>
          <w:sz w:val="24"/>
          <w:szCs w:val="24"/>
        </w:rPr>
        <w:t>es of</w:t>
      </w:r>
      <w:r w:rsidR="00BC0154">
        <w:rPr>
          <w:rFonts w:ascii="Times New Roman" w:eastAsia="Times New Roman" w:hAnsi="Times New Roman" w:cs="Times New Roman"/>
          <w:color w:val="000000"/>
          <w:sz w:val="24"/>
          <w:szCs w:val="24"/>
        </w:rPr>
        <w:t xml:space="preserve"> inexpensive cloth</w:t>
      </w:r>
      <w:r w:rsidR="00D11BE6">
        <w:rPr>
          <w:rFonts w:ascii="Times New Roman" w:eastAsia="Times New Roman" w:hAnsi="Times New Roman" w:cs="Times New Roman"/>
          <w:color w:val="000000"/>
          <w:sz w:val="24"/>
          <w:szCs w:val="24"/>
        </w:rPr>
        <w:t xml:space="preserve">, copied the bright, intricate Indian designs, and </w:t>
      </w:r>
      <w:r w:rsidR="00BC0154">
        <w:rPr>
          <w:rFonts w:ascii="Times New Roman" w:eastAsia="Times New Roman" w:hAnsi="Times New Roman" w:cs="Times New Roman"/>
          <w:color w:val="000000"/>
          <w:sz w:val="24"/>
          <w:szCs w:val="24"/>
        </w:rPr>
        <w:t xml:space="preserve">easily </w:t>
      </w:r>
      <w:proofErr w:type="gramStart"/>
      <w:r w:rsidR="00BC0154">
        <w:rPr>
          <w:rFonts w:ascii="Times New Roman" w:eastAsia="Times New Roman" w:hAnsi="Times New Roman" w:cs="Times New Roman"/>
          <w:color w:val="000000"/>
          <w:sz w:val="24"/>
          <w:szCs w:val="24"/>
        </w:rPr>
        <w:t>outcompeted</w:t>
      </w:r>
      <w:proofErr w:type="gramEnd"/>
      <w:r w:rsidR="00BC0154">
        <w:rPr>
          <w:rFonts w:ascii="Times New Roman" w:eastAsia="Times New Roman" w:hAnsi="Times New Roman" w:cs="Times New Roman"/>
          <w:color w:val="000000"/>
          <w:sz w:val="24"/>
          <w:szCs w:val="24"/>
        </w:rPr>
        <w:t xml:space="preserve"> </w:t>
      </w:r>
      <w:r w:rsidR="00D11BE6">
        <w:rPr>
          <w:rFonts w:ascii="Times New Roman" w:eastAsia="Times New Roman" w:hAnsi="Times New Roman" w:cs="Times New Roman"/>
          <w:color w:val="000000"/>
          <w:sz w:val="24"/>
          <w:szCs w:val="24"/>
        </w:rPr>
        <w:t>the Indian artisans</w:t>
      </w:r>
      <w:r w:rsidR="00BC0154">
        <w:rPr>
          <w:rFonts w:ascii="Times New Roman" w:eastAsia="Times New Roman" w:hAnsi="Times New Roman" w:cs="Times New Roman"/>
          <w:color w:val="000000"/>
          <w:sz w:val="24"/>
          <w:szCs w:val="24"/>
        </w:rPr>
        <w:t>.</w:t>
      </w:r>
      <w:r w:rsidR="00BC0154">
        <w:rPr>
          <w:rStyle w:val="FootnoteReference"/>
          <w:rFonts w:ascii="Times New Roman" w:eastAsia="Times New Roman" w:hAnsi="Times New Roman" w:cs="Times New Roman"/>
          <w:color w:val="000000"/>
          <w:sz w:val="24"/>
          <w:szCs w:val="24"/>
        </w:rPr>
        <w:footnoteReference w:id="9"/>
      </w:r>
    </w:p>
    <w:p w:rsidR="00BC0154" w:rsidRDefault="00BC0154" w:rsidP="00BC0154">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495058">
        <w:rPr>
          <w:rFonts w:ascii="Times New Roman" w:eastAsia="Times New Roman" w:hAnsi="Times New Roman" w:cs="Times New Roman"/>
          <w:color w:val="000000"/>
          <w:sz w:val="24"/>
          <w:szCs w:val="24"/>
        </w:rPr>
        <w:t>Meanwhile, the East India Company was thriving.  In a</w:t>
      </w:r>
      <w:r w:rsidR="0075077F">
        <w:rPr>
          <w:rFonts w:ascii="Times New Roman" w:eastAsia="Times New Roman" w:hAnsi="Times New Roman" w:cs="Times New Roman"/>
          <w:color w:val="000000"/>
          <w:sz w:val="24"/>
          <w:szCs w:val="24"/>
        </w:rPr>
        <w:t xml:space="preserve"> William </w:t>
      </w:r>
      <w:proofErr w:type="spellStart"/>
      <w:r w:rsidR="0075077F">
        <w:rPr>
          <w:rFonts w:ascii="Times New Roman" w:eastAsia="Times New Roman" w:hAnsi="Times New Roman" w:cs="Times New Roman"/>
          <w:color w:val="000000"/>
          <w:sz w:val="24"/>
          <w:szCs w:val="24"/>
        </w:rPr>
        <w:t>Daniell</w:t>
      </w:r>
      <w:proofErr w:type="spellEnd"/>
      <w:r w:rsidR="00495058">
        <w:rPr>
          <w:rFonts w:ascii="Times New Roman" w:eastAsia="Times New Roman" w:hAnsi="Times New Roman" w:cs="Times New Roman"/>
          <w:color w:val="000000"/>
          <w:sz w:val="24"/>
          <w:szCs w:val="24"/>
        </w:rPr>
        <w:t xml:space="preserve"> painting of the company’s docks near London, </w:t>
      </w:r>
      <w:r w:rsidR="0075077F">
        <w:rPr>
          <w:rFonts w:ascii="Times New Roman" w:eastAsia="Times New Roman" w:hAnsi="Times New Roman" w:cs="Times New Roman"/>
          <w:color w:val="000000"/>
          <w:sz w:val="24"/>
          <w:szCs w:val="24"/>
        </w:rPr>
        <w:t xml:space="preserve">scores of </w:t>
      </w:r>
      <w:r w:rsidR="00495058">
        <w:rPr>
          <w:rFonts w:ascii="Times New Roman" w:eastAsia="Times New Roman" w:hAnsi="Times New Roman" w:cs="Times New Roman"/>
          <w:color w:val="000000"/>
          <w:sz w:val="24"/>
          <w:szCs w:val="24"/>
        </w:rPr>
        <w:t xml:space="preserve">merchant ships </w:t>
      </w:r>
      <w:r w:rsidR="0075077F">
        <w:rPr>
          <w:rFonts w:ascii="Times New Roman" w:eastAsia="Times New Roman" w:hAnsi="Times New Roman" w:cs="Times New Roman"/>
          <w:color w:val="000000"/>
          <w:sz w:val="24"/>
          <w:szCs w:val="24"/>
        </w:rPr>
        <w:t>as far as the eye can see sail</w:t>
      </w:r>
      <w:r w:rsidR="00495058">
        <w:rPr>
          <w:rFonts w:ascii="Times New Roman" w:eastAsia="Times New Roman" w:hAnsi="Times New Roman" w:cs="Times New Roman"/>
          <w:color w:val="000000"/>
          <w:sz w:val="24"/>
          <w:szCs w:val="24"/>
        </w:rPr>
        <w:t xml:space="preserve"> up and down the Thames River, </w:t>
      </w:r>
      <w:r w:rsidR="0075077F">
        <w:rPr>
          <w:rFonts w:ascii="Times New Roman" w:eastAsia="Times New Roman" w:hAnsi="Times New Roman" w:cs="Times New Roman"/>
          <w:color w:val="000000"/>
          <w:sz w:val="24"/>
          <w:szCs w:val="24"/>
        </w:rPr>
        <w:t>highlighting the immense power and trade interest</w:t>
      </w:r>
      <w:r w:rsidR="00994E50">
        <w:rPr>
          <w:rFonts w:ascii="Times New Roman" w:eastAsia="Times New Roman" w:hAnsi="Times New Roman" w:cs="Times New Roman"/>
          <w:color w:val="000000"/>
          <w:sz w:val="24"/>
          <w:szCs w:val="24"/>
        </w:rPr>
        <w:t>s</w:t>
      </w:r>
      <w:r w:rsidR="0075077F">
        <w:rPr>
          <w:rFonts w:ascii="Times New Roman" w:eastAsia="Times New Roman" w:hAnsi="Times New Roman" w:cs="Times New Roman"/>
          <w:color w:val="000000"/>
          <w:sz w:val="24"/>
          <w:szCs w:val="24"/>
        </w:rPr>
        <w:t xml:space="preserve"> of the company.</w:t>
      </w:r>
      <w:r w:rsidR="0075077F">
        <w:rPr>
          <w:rStyle w:val="FootnoteReference"/>
          <w:rFonts w:ascii="Times New Roman" w:eastAsia="Times New Roman" w:hAnsi="Times New Roman" w:cs="Times New Roman"/>
          <w:color w:val="000000"/>
          <w:sz w:val="24"/>
          <w:szCs w:val="24"/>
        </w:rPr>
        <w:footnoteReference w:id="10"/>
      </w:r>
      <w:r w:rsidR="0075077F">
        <w:rPr>
          <w:rFonts w:ascii="Times New Roman" w:eastAsia="Times New Roman" w:hAnsi="Times New Roman" w:cs="Times New Roman"/>
          <w:color w:val="000000"/>
          <w:sz w:val="24"/>
          <w:szCs w:val="24"/>
        </w:rPr>
        <w:t xml:space="preserve">  But the </w:t>
      </w:r>
      <w:r w:rsidR="00B07B4D">
        <w:rPr>
          <w:rFonts w:ascii="Times New Roman" w:eastAsia="Times New Roman" w:hAnsi="Times New Roman" w:cs="Times New Roman"/>
          <w:color w:val="000000"/>
          <w:sz w:val="24"/>
          <w:szCs w:val="24"/>
        </w:rPr>
        <w:t xml:space="preserve">East India Company’s reign ended after British forces put down the Indian Mutiny, </w:t>
      </w:r>
      <w:r w:rsidR="00320803">
        <w:rPr>
          <w:rFonts w:ascii="Times New Roman" w:eastAsia="Times New Roman" w:hAnsi="Times New Roman" w:cs="Times New Roman"/>
          <w:color w:val="000000"/>
          <w:sz w:val="24"/>
          <w:szCs w:val="24"/>
        </w:rPr>
        <w:t xml:space="preserve">an </w:t>
      </w:r>
      <w:r w:rsidR="00320803">
        <w:rPr>
          <w:rFonts w:ascii="Times New Roman" w:eastAsia="Times New Roman" w:hAnsi="Times New Roman" w:cs="Times New Roman"/>
          <w:color w:val="000000"/>
          <w:sz w:val="24"/>
          <w:szCs w:val="24"/>
        </w:rPr>
        <w:lastRenderedPageBreak/>
        <w:t>1857 revolt</w:t>
      </w:r>
      <w:r w:rsidR="00B07B4D">
        <w:rPr>
          <w:rFonts w:ascii="Times New Roman" w:eastAsia="Times New Roman" w:hAnsi="Times New Roman" w:cs="Times New Roman"/>
          <w:color w:val="000000"/>
          <w:sz w:val="24"/>
          <w:szCs w:val="24"/>
        </w:rPr>
        <w:t xml:space="preserve"> </w:t>
      </w:r>
      <w:r w:rsidR="00320803">
        <w:rPr>
          <w:rFonts w:ascii="Times New Roman" w:eastAsia="Times New Roman" w:hAnsi="Times New Roman" w:cs="Times New Roman"/>
          <w:color w:val="000000"/>
          <w:sz w:val="24"/>
          <w:szCs w:val="24"/>
        </w:rPr>
        <w:t>of</w:t>
      </w:r>
      <w:r w:rsidR="002A4E13">
        <w:rPr>
          <w:rFonts w:ascii="Times New Roman" w:eastAsia="Times New Roman" w:hAnsi="Times New Roman" w:cs="Times New Roman"/>
          <w:color w:val="000000"/>
          <w:sz w:val="24"/>
          <w:szCs w:val="24"/>
        </w:rPr>
        <w:t xml:space="preserve"> a portion of Indian troops (</w:t>
      </w:r>
      <w:proofErr w:type="spellStart"/>
      <w:r w:rsidR="002A4E13">
        <w:rPr>
          <w:rFonts w:ascii="Times New Roman" w:eastAsia="Times New Roman" w:hAnsi="Times New Roman" w:cs="Times New Roman"/>
          <w:color w:val="000000"/>
          <w:sz w:val="24"/>
          <w:szCs w:val="24"/>
        </w:rPr>
        <w:t>S</w:t>
      </w:r>
      <w:r w:rsidR="00B07B4D">
        <w:rPr>
          <w:rFonts w:ascii="Times New Roman" w:eastAsia="Times New Roman" w:hAnsi="Times New Roman" w:cs="Times New Roman"/>
          <w:color w:val="000000"/>
          <w:sz w:val="24"/>
          <w:szCs w:val="24"/>
        </w:rPr>
        <w:t>epoys</w:t>
      </w:r>
      <w:proofErr w:type="spellEnd"/>
      <w:r w:rsidR="00B07B4D">
        <w:rPr>
          <w:rFonts w:ascii="Times New Roman" w:eastAsia="Times New Roman" w:hAnsi="Times New Roman" w:cs="Times New Roman"/>
          <w:color w:val="000000"/>
          <w:sz w:val="24"/>
          <w:szCs w:val="24"/>
        </w:rPr>
        <w:t>) under British service.</w:t>
      </w:r>
      <w:r w:rsidR="00B07B4D">
        <w:rPr>
          <w:rStyle w:val="FootnoteReference"/>
          <w:rFonts w:ascii="Times New Roman" w:eastAsia="Times New Roman" w:hAnsi="Times New Roman" w:cs="Times New Roman"/>
          <w:color w:val="000000"/>
          <w:sz w:val="24"/>
          <w:szCs w:val="24"/>
        </w:rPr>
        <w:footnoteReference w:id="11"/>
      </w:r>
      <w:r w:rsidR="00B07B4D">
        <w:rPr>
          <w:rFonts w:ascii="Times New Roman" w:eastAsia="Times New Roman" w:hAnsi="Times New Roman" w:cs="Times New Roman"/>
          <w:color w:val="000000"/>
          <w:sz w:val="24"/>
          <w:szCs w:val="24"/>
        </w:rPr>
        <w:t xml:space="preserve">  </w:t>
      </w:r>
      <w:r w:rsidR="00320803">
        <w:rPr>
          <w:rFonts w:ascii="Times New Roman" w:eastAsia="Times New Roman" w:hAnsi="Times New Roman" w:cs="Times New Roman"/>
          <w:color w:val="000000"/>
          <w:sz w:val="24"/>
          <w:szCs w:val="24"/>
        </w:rPr>
        <w:t>No longer trusting the East India Company to govern India, Parliament passed the Act for the Better Government of India in 1858, officially transferring control to the British Crown.</w:t>
      </w:r>
      <w:r w:rsidR="00320803">
        <w:rPr>
          <w:rStyle w:val="FootnoteReference"/>
          <w:rFonts w:ascii="Times New Roman" w:eastAsia="Times New Roman" w:hAnsi="Times New Roman" w:cs="Times New Roman"/>
          <w:color w:val="000000"/>
          <w:sz w:val="24"/>
          <w:szCs w:val="24"/>
        </w:rPr>
        <w:footnoteReference w:id="12"/>
      </w:r>
      <w:r w:rsidR="00320803">
        <w:rPr>
          <w:rFonts w:ascii="Times New Roman" w:eastAsia="Times New Roman" w:hAnsi="Times New Roman" w:cs="Times New Roman"/>
          <w:color w:val="000000"/>
          <w:sz w:val="24"/>
          <w:szCs w:val="24"/>
        </w:rPr>
        <w:t xml:space="preserve">  Thus </w:t>
      </w:r>
      <w:r w:rsidR="00310C31">
        <w:rPr>
          <w:rFonts w:ascii="Times New Roman" w:eastAsia="Times New Roman" w:hAnsi="Times New Roman" w:cs="Times New Roman"/>
          <w:color w:val="000000"/>
          <w:sz w:val="24"/>
          <w:szCs w:val="24"/>
        </w:rPr>
        <w:t>Great Britain expanded imperialism to</w:t>
      </w:r>
      <w:r w:rsidR="00320803">
        <w:rPr>
          <w:rFonts w:ascii="Times New Roman" w:eastAsia="Times New Roman" w:hAnsi="Times New Roman" w:cs="Times New Roman"/>
          <w:color w:val="000000"/>
          <w:sz w:val="24"/>
          <w:szCs w:val="24"/>
        </w:rPr>
        <w:t xml:space="preserve"> India, “the brightest jewel in the British Crown.”</w:t>
      </w:r>
      <w:r w:rsidR="00310C31">
        <w:rPr>
          <w:rStyle w:val="FootnoteReference"/>
          <w:rFonts w:ascii="Times New Roman" w:eastAsia="Times New Roman" w:hAnsi="Times New Roman" w:cs="Times New Roman"/>
          <w:color w:val="000000"/>
          <w:sz w:val="24"/>
          <w:szCs w:val="24"/>
        </w:rPr>
        <w:footnoteReference w:id="13"/>
      </w:r>
    </w:p>
    <w:p w:rsidR="00F02E1D" w:rsidRDefault="008F1BFB" w:rsidP="00DE5636">
      <w:pPr>
        <w:pStyle w:val="ListParagraph"/>
        <w:spacing w:after="0" w:line="480" w:lineRule="auto"/>
        <w:ind w:left="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British Raj, officially the British Indian Empire, </w:t>
      </w:r>
      <w:r w:rsidR="00BF6FE7">
        <w:rPr>
          <w:rFonts w:ascii="Times New Roman" w:eastAsia="Times New Roman" w:hAnsi="Times New Roman" w:cs="Times New Roman"/>
          <w:color w:val="000000"/>
          <w:sz w:val="24"/>
          <w:szCs w:val="24"/>
        </w:rPr>
        <w:t xml:space="preserve">controlled most of the Indian coastline and was heavily concentrated in the regions of Bengal, Burma, and Punjab, with independent </w:t>
      </w:r>
      <w:r w:rsidR="0032492E">
        <w:rPr>
          <w:rFonts w:ascii="Times New Roman" w:eastAsia="Times New Roman" w:hAnsi="Times New Roman" w:cs="Times New Roman"/>
          <w:color w:val="000000"/>
          <w:sz w:val="24"/>
          <w:szCs w:val="24"/>
        </w:rPr>
        <w:t xml:space="preserve">princely states </w:t>
      </w:r>
      <w:r w:rsidR="00BF6FE7">
        <w:rPr>
          <w:rFonts w:ascii="Times New Roman" w:eastAsia="Times New Roman" w:hAnsi="Times New Roman" w:cs="Times New Roman"/>
          <w:color w:val="000000"/>
          <w:sz w:val="24"/>
          <w:szCs w:val="24"/>
        </w:rPr>
        <w:t>interspersed throughout the interior.</w:t>
      </w:r>
      <w:r w:rsidR="00BF6FE7">
        <w:rPr>
          <w:rStyle w:val="FootnoteReference"/>
          <w:rFonts w:ascii="Times New Roman" w:eastAsia="Times New Roman" w:hAnsi="Times New Roman" w:cs="Times New Roman"/>
          <w:color w:val="000000"/>
          <w:sz w:val="24"/>
          <w:szCs w:val="24"/>
        </w:rPr>
        <w:footnoteReference w:id="14"/>
      </w:r>
      <w:r w:rsidR="00BF6FE7">
        <w:rPr>
          <w:rFonts w:ascii="Times New Roman" w:eastAsia="Times New Roman" w:hAnsi="Times New Roman" w:cs="Times New Roman"/>
          <w:color w:val="000000"/>
          <w:sz w:val="24"/>
          <w:szCs w:val="24"/>
        </w:rPr>
        <w:t xml:space="preserve"> </w:t>
      </w:r>
      <w:r w:rsidR="0032492E">
        <w:rPr>
          <w:rFonts w:ascii="Times New Roman" w:eastAsia="Times New Roman" w:hAnsi="Times New Roman" w:cs="Times New Roman"/>
          <w:color w:val="000000"/>
          <w:sz w:val="24"/>
          <w:szCs w:val="24"/>
        </w:rPr>
        <w:t xml:space="preserve"> </w:t>
      </w:r>
      <w:r w:rsidR="00F02E1D">
        <w:rPr>
          <w:rFonts w:ascii="Times New Roman" w:eastAsia="Times New Roman" w:hAnsi="Times New Roman" w:cs="Times New Roman"/>
          <w:color w:val="000000"/>
          <w:sz w:val="24"/>
          <w:szCs w:val="24"/>
        </w:rPr>
        <w:t>But the British Raj held power</w:t>
      </w:r>
      <w:r w:rsidR="005908C0">
        <w:rPr>
          <w:rFonts w:ascii="Times New Roman" w:eastAsia="Times New Roman" w:hAnsi="Times New Roman" w:cs="Times New Roman"/>
          <w:color w:val="000000"/>
          <w:sz w:val="24"/>
          <w:szCs w:val="24"/>
        </w:rPr>
        <w:t xml:space="preserve"> for n</w:t>
      </w:r>
      <w:r w:rsidR="00F02E1D">
        <w:rPr>
          <w:rFonts w:ascii="Times New Roman" w:eastAsia="Times New Roman" w:hAnsi="Times New Roman" w:cs="Times New Roman"/>
          <w:color w:val="000000"/>
          <w:sz w:val="24"/>
          <w:szCs w:val="24"/>
        </w:rPr>
        <w:t>ot even</w:t>
      </w:r>
      <w:r w:rsidR="005908C0">
        <w:rPr>
          <w:rFonts w:ascii="Times New Roman" w:eastAsia="Times New Roman" w:hAnsi="Times New Roman" w:cs="Times New Roman"/>
          <w:color w:val="000000"/>
          <w:sz w:val="24"/>
          <w:szCs w:val="24"/>
        </w:rPr>
        <w:t xml:space="preserve"> a century</w:t>
      </w:r>
      <w:r w:rsidR="00514583">
        <w:rPr>
          <w:rFonts w:ascii="Times New Roman" w:eastAsia="Times New Roman" w:hAnsi="Times New Roman" w:cs="Times New Roman"/>
          <w:color w:val="000000"/>
          <w:sz w:val="24"/>
          <w:szCs w:val="24"/>
        </w:rPr>
        <w:t xml:space="preserve"> before </w:t>
      </w:r>
      <w:r w:rsidR="00F02E1D">
        <w:rPr>
          <w:rFonts w:ascii="Times New Roman" w:eastAsia="Times New Roman" w:hAnsi="Times New Roman" w:cs="Times New Roman"/>
          <w:color w:val="000000"/>
          <w:sz w:val="24"/>
          <w:szCs w:val="24"/>
        </w:rPr>
        <w:t>India</w:t>
      </w:r>
      <w:r w:rsidR="00514583">
        <w:rPr>
          <w:rFonts w:ascii="Times New Roman" w:eastAsia="Times New Roman" w:hAnsi="Times New Roman" w:cs="Times New Roman"/>
          <w:color w:val="000000"/>
          <w:sz w:val="24"/>
          <w:szCs w:val="24"/>
        </w:rPr>
        <w:t xml:space="preserve"> gained</w:t>
      </w:r>
      <w:r w:rsidR="00F02E1D">
        <w:rPr>
          <w:rFonts w:ascii="Times New Roman" w:eastAsia="Times New Roman" w:hAnsi="Times New Roman" w:cs="Times New Roman"/>
          <w:color w:val="000000"/>
          <w:sz w:val="24"/>
          <w:szCs w:val="24"/>
        </w:rPr>
        <w:t xml:space="preserve"> its</w:t>
      </w:r>
      <w:r w:rsidR="00514583">
        <w:rPr>
          <w:rFonts w:ascii="Times New Roman" w:eastAsia="Times New Roman" w:hAnsi="Times New Roman" w:cs="Times New Roman"/>
          <w:color w:val="000000"/>
          <w:sz w:val="24"/>
          <w:szCs w:val="24"/>
        </w:rPr>
        <w:t xml:space="preserve"> independence on </w:t>
      </w:r>
      <w:r w:rsidR="00F02E1D">
        <w:rPr>
          <w:rFonts w:ascii="Times New Roman" w:eastAsia="Times New Roman" w:hAnsi="Times New Roman" w:cs="Times New Roman"/>
          <w:color w:val="000000"/>
          <w:sz w:val="24"/>
          <w:szCs w:val="24"/>
        </w:rPr>
        <w:t xml:space="preserve">15 </w:t>
      </w:r>
      <w:r w:rsidR="00514583">
        <w:rPr>
          <w:rFonts w:ascii="Times New Roman" w:eastAsia="Times New Roman" w:hAnsi="Times New Roman" w:cs="Times New Roman"/>
          <w:color w:val="000000"/>
          <w:sz w:val="24"/>
          <w:szCs w:val="24"/>
        </w:rPr>
        <w:t>August 1947</w:t>
      </w:r>
      <w:r w:rsidR="005908C0">
        <w:rPr>
          <w:rFonts w:ascii="Times New Roman" w:eastAsia="Times New Roman" w:hAnsi="Times New Roman" w:cs="Times New Roman"/>
          <w:color w:val="000000"/>
          <w:sz w:val="24"/>
          <w:szCs w:val="24"/>
        </w:rPr>
        <w:t>.</w:t>
      </w:r>
      <w:r w:rsidR="005908C0">
        <w:rPr>
          <w:rStyle w:val="FootnoteReference"/>
          <w:rFonts w:ascii="Times New Roman" w:eastAsia="Times New Roman" w:hAnsi="Times New Roman" w:cs="Times New Roman"/>
          <w:color w:val="000000"/>
          <w:sz w:val="24"/>
          <w:szCs w:val="24"/>
        </w:rPr>
        <w:footnoteReference w:id="15"/>
      </w:r>
      <w:r w:rsidR="00514583">
        <w:rPr>
          <w:rFonts w:ascii="Times New Roman" w:eastAsia="Times New Roman" w:hAnsi="Times New Roman" w:cs="Times New Roman"/>
          <w:color w:val="000000"/>
          <w:sz w:val="24"/>
          <w:szCs w:val="24"/>
        </w:rPr>
        <w:t xml:space="preserve">  </w:t>
      </w:r>
      <w:r w:rsidR="00A501A4">
        <w:rPr>
          <w:rFonts w:ascii="Times New Roman" w:eastAsia="Times New Roman" w:hAnsi="Times New Roman" w:cs="Times New Roman"/>
          <w:color w:val="000000"/>
          <w:sz w:val="24"/>
          <w:szCs w:val="24"/>
        </w:rPr>
        <w:t xml:space="preserve">The newly independent India, however, retained some of the political ideals of the British.  </w:t>
      </w:r>
      <w:r w:rsidR="00F02E1D">
        <w:rPr>
          <w:rFonts w:ascii="Times New Roman" w:eastAsia="Times New Roman" w:hAnsi="Times New Roman" w:cs="Times New Roman"/>
          <w:color w:val="000000"/>
          <w:sz w:val="24"/>
          <w:szCs w:val="24"/>
        </w:rPr>
        <w:t xml:space="preserve">In </w:t>
      </w:r>
      <w:r w:rsidR="00A501A4">
        <w:rPr>
          <w:rFonts w:ascii="Times New Roman" w:eastAsia="Times New Roman" w:hAnsi="Times New Roman" w:cs="Times New Roman"/>
          <w:color w:val="000000"/>
          <w:sz w:val="24"/>
          <w:szCs w:val="24"/>
        </w:rPr>
        <w:t xml:space="preserve">a </w:t>
      </w:r>
      <w:r w:rsidR="00F02E1D">
        <w:rPr>
          <w:rFonts w:ascii="Times New Roman" w:eastAsia="Times New Roman" w:hAnsi="Times New Roman" w:cs="Times New Roman"/>
          <w:color w:val="000000"/>
          <w:sz w:val="24"/>
          <w:szCs w:val="24"/>
        </w:rPr>
        <w:t xml:space="preserve">draft statement dated 20 February 1947, the Secretary of State for India, Frederick </w:t>
      </w:r>
      <w:proofErr w:type="spellStart"/>
      <w:r w:rsidR="00F02E1D">
        <w:rPr>
          <w:rFonts w:ascii="Times New Roman" w:eastAsia="Times New Roman" w:hAnsi="Times New Roman" w:cs="Times New Roman"/>
          <w:color w:val="000000"/>
          <w:sz w:val="24"/>
          <w:szCs w:val="24"/>
        </w:rPr>
        <w:t>Pethick</w:t>
      </w:r>
      <w:proofErr w:type="spellEnd"/>
      <w:r w:rsidR="00F02E1D">
        <w:rPr>
          <w:rFonts w:ascii="Times New Roman" w:eastAsia="Times New Roman" w:hAnsi="Times New Roman" w:cs="Times New Roman"/>
          <w:color w:val="000000"/>
          <w:sz w:val="24"/>
          <w:szCs w:val="24"/>
        </w:rPr>
        <w:t>-Lawrence, wrote</w:t>
      </w:r>
      <w:r w:rsidR="00A501A4">
        <w:rPr>
          <w:rFonts w:ascii="Times New Roman" w:eastAsia="Times New Roman" w:hAnsi="Times New Roman" w:cs="Times New Roman"/>
          <w:color w:val="000000"/>
          <w:sz w:val="24"/>
          <w:szCs w:val="24"/>
        </w:rPr>
        <w:t xml:space="preserve"> about British influence in the birth of a democratic Indian government</w:t>
      </w:r>
      <w:r w:rsidR="00F02E1D">
        <w:rPr>
          <w:rFonts w:ascii="Times New Roman" w:eastAsia="Times New Roman" w:hAnsi="Times New Roman" w:cs="Times New Roman"/>
          <w:color w:val="000000"/>
          <w:sz w:val="24"/>
          <w:szCs w:val="24"/>
        </w:rPr>
        <w:t>:</w:t>
      </w:r>
    </w:p>
    <w:p w:rsidR="00F02E1D" w:rsidRDefault="00F02E1D" w:rsidP="00F02E1D">
      <w:pPr>
        <w:pStyle w:val="ListParagraph"/>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Indians should themselves frame a new constitution for a fully autonomous India, and in the offer of 1942 they [the British government] invited them to set up a Constituent Assembly for this purpose as soon as the war [World War II] was over.  His Majesty’s Government </w:t>
      </w:r>
      <w:proofErr w:type="gramStart"/>
      <w:r>
        <w:rPr>
          <w:rFonts w:ascii="Times New Roman" w:eastAsia="Times New Roman" w:hAnsi="Times New Roman" w:cs="Times New Roman"/>
          <w:color w:val="000000"/>
          <w:sz w:val="24"/>
          <w:szCs w:val="24"/>
        </w:rPr>
        <w:t>believe</w:t>
      </w:r>
      <w:proofErr w:type="gramEnd"/>
      <w:r>
        <w:rPr>
          <w:rFonts w:ascii="Times New Roman" w:eastAsia="Times New Roman" w:hAnsi="Times New Roman" w:cs="Times New Roman"/>
          <w:color w:val="000000"/>
          <w:sz w:val="24"/>
          <w:szCs w:val="24"/>
        </w:rPr>
        <w:t xml:space="preserve"> this policy to have been </w:t>
      </w:r>
      <w:r w:rsidR="00A501A4">
        <w:rPr>
          <w:rFonts w:ascii="Times New Roman" w:eastAsia="Times New Roman" w:hAnsi="Times New Roman" w:cs="Times New Roman"/>
          <w:color w:val="000000"/>
          <w:sz w:val="24"/>
          <w:szCs w:val="24"/>
        </w:rPr>
        <w:t>the right and in accordance with sound democratic principles</w:t>
      </w:r>
      <w:r w:rsidR="007F6D8C">
        <w:rPr>
          <w:rFonts w:ascii="Times New Roman" w:eastAsia="Times New Roman" w:hAnsi="Times New Roman" w:cs="Times New Roman"/>
          <w:color w:val="000000"/>
          <w:sz w:val="24"/>
          <w:szCs w:val="24"/>
        </w:rPr>
        <w:t xml:space="preserve"> … the time had come for responsibility for government of India to pass into Indian hands.</w:t>
      </w:r>
      <w:r w:rsidR="00A501A4">
        <w:rPr>
          <w:rStyle w:val="FootnoteReference"/>
          <w:rFonts w:ascii="Times New Roman" w:eastAsia="Times New Roman" w:hAnsi="Times New Roman" w:cs="Times New Roman"/>
          <w:color w:val="000000"/>
          <w:sz w:val="24"/>
          <w:szCs w:val="24"/>
        </w:rPr>
        <w:footnoteReference w:id="16"/>
      </w:r>
    </w:p>
    <w:p w:rsidR="00F02E1D" w:rsidRDefault="00F02E1D" w:rsidP="00F02E1D">
      <w:pPr>
        <w:pStyle w:val="ListParagraph"/>
        <w:spacing w:after="0" w:line="240" w:lineRule="auto"/>
        <w:ind w:left="0" w:firstLine="720"/>
        <w:rPr>
          <w:rFonts w:ascii="Times New Roman" w:eastAsia="Times New Roman" w:hAnsi="Times New Roman" w:cs="Times New Roman"/>
          <w:color w:val="000000"/>
          <w:sz w:val="24"/>
          <w:szCs w:val="24"/>
        </w:rPr>
      </w:pPr>
    </w:p>
    <w:p w:rsidR="00024E2D" w:rsidRPr="00024E2D" w:rsidRDefault="00A501A4" w:rsidP="00A501A4">
      <w:pPr>
        <w:pStyle w:val="ListParagraph"/>
        <w:spacing w:after="0" w:line="480" w:lineRule="auto"/>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Besides laying the foundations for a new government, t</w:t>
      </w:r>
      <w:r w:rsidR="002C4F54">
        <w:rPr>
          <w:rFonts w:ascii="Times New Roman" w:eastAsia="Times New Roman" w:hAnsi="Times New Roman" w:cs="Times New Roman"/>
          <w:color w:val="000000"/>
          <w:sz w:val="24"/>
          <w:szCs w:val="24"/>
        </w:rPr>
        <w:t xml:space="preserve">he Indian Independence Act also </w:t>
      </w:r>
      <w:r w:rsidR="0032492E">
        <w:rPr>
          <w:rFonts w:ascii="Times New Roman" w:eastAsia="Times New Roman" w:hAnsi="Times New Roman" w:cs="Times New Roman"/>
          <w:color w:val="000000"/>
          <w:sz w:val="24"/>
          <w:szCs w:val="24"/>
        </w:rPr>
        <w:t>had another objective: the</w:t>
      </w:r>
      <w:r w:rsidR="007F6D8C">
        <w:rPr>
          <w:rFonts w:ascii="Times New Roman" w:eastAsia="Times New Roman" w:hAnsi="Times New Roman" w:cs="Times New Roman"/>
          <w:color w:val="000000"/>
          <w:sz w:val="24"/>
          <w:szCs w:val="24"/>
        </w:rPr>
        <w:t xml:space="preserve"> </w:t>
      </w:r>
      <w:r w:rsidR="002C4F54">
        <w:rPr>
          <w:rFonts w:ascii="Times New Roman" w:eastAsia="Times New Roman" w:hAnsi="Times New Roman" w:cs="Times New Roman"/>
          <w:color w:val="000000"/>
          <w:sz w:val="24"/>
          <w:szCs w:val="24"/>
        </w:rPr>
        <w:t>partition</w:t>
      </w:r>
      <w:r w:rsidR="0032492E">
        <w:rPr>
          <w:rFonts w:ascii="Times New Roman" w:eastAsia="Times New Roman" w:hAnsi="Times New Roman" w:cs="Times New Roman"/>
          <w:color w:val="000000"/>
          <w:sz w:val="24"/>
          <w:szCs w:val="24"/>
        </w:rPr>
        <w:t xml:space="preserve"> of</w:t>
      </w:r>
      <w:r w:rsidR="002C4F54">
        <w:rPr>
          <w:rFonts w:ascii="Times New Roman" w:eastAsia="Times New Roman" w:hAnsi="Times New Roman" w:cs="Times New Roman"/>
          <w:color w:val="000000"/>
          <w:sz w:val="24"/>
          <w:szCs w:val="24"/>
        </w:rPr>
        <w:t xml:space="preserve"> </w:t>
      </w:r>
      <w:r w:rsidR="007F6D8C">
        <w:rPr>
          <w:rFonts w:ascii="Times New Roman" w:eastAsia="Times New Roman" w:hAnsi="Times New Roman" w:cs="Times New Roman"/>
          <w:color w:val="000000"/>
          <w:sz w:val="24"/>
          <w:szCs w:val="24"/>
        </w:rPr>
        <w:t>India</w:t>
      </w:r>
      <w:r w:rsidR="002C4F54">
        <w:rPr>
          <w:rFonts w:ascii="Times New Roman" w:eastAsia="Times New Roman" w:hAnsi="Times New Roman" w:cs="Times New Roman"/>
          <w:color w:val="000000"/>
          <w:sz w:val="24"/>
          <w:szCs w:val="24"/>
        </w:rPr>
        <w:t xml:space="preserve"> into “two independent nation states: Hindu-majority India and Muslim-majority Pakistan.”</w:t>
      </w:r>
      <w:r w:rsidR="002C4F54">
        <w:rPr>
          <w:rStyle w:val="FootnoteReference"/>
          <w:rFonts w:ascii="Times New Roman" w:eastAsia="Times New Roman" w:hAnsi="Times New Roman" w:cs="Times New Roman"/>
          <w:color w:val="000000"/>
          <w:sz w:val="24"/>
          <w:szCs w:val="24"/>
        </w:rPr>
        <w:footnoteReference w:id="17"/>
      </w:r>
      <w:r w:rsidR="00024E2D">
        <w:rPr>
          <w:rFonts w:ascii="Times New Roman" w:eastAsia="Times New Roman" w:hAnsi="Times New Roman" w:cs="Times New Roman"/>
          <w:color w:val="000000"/>
          <w:sz w:val="24"/>
          <w:szCs w:val="24"/>
        </w:rPr>
        <w:t xml:space="preserve">  The </w:t>
      </w:r>
      <w:r w:rsidR="00DE5636">
        <w:rPr>
          <w:rFonts w:ascii="Times New Roman" w:eastAsia="Times New Roman" w:hAnsi="Times New Roman" w:cs="Times New Roman"/>
          <w:color w:val="000000"/>
          <w:sz w:val="24"/>
          <w:szCs w:val="24"/>
        </w:rPr>
        <w:t xml:space="preserve">immediate </w:t>
      </w:r>
      <w:r w:rsidR="007F6D8C">
        <w:rPr>
          <w:rFonts w:ascii="Times New Roman" w:eastAsia="Times New Roman" w:hAnsi="Times New Roman" w:cs="Times New Roman"/>
          <w:color w:val="000000"/>
          <w:sz w:val="24"/>
          <w:szCs w:val="24"/>
        </w:rPr>
        <w:t>consequences</w:t>
      </w:r>
      <w:r w:rsidR="00024E2D">
        <w:rPr>
          <w:rFonts w:ascii="Times New Roman" w:eastAsia="Times New Roman" w:hAnsi="Times New Roman" w:cs="Times New Roman"/>
          <w:color w:val="000000"/>
          <w:sz w:val="24"/>
          <w:szCs w:val="24"/>
        </w:rPr>
        <w:t xml:space="preserve"> </w:t>
      </w:r>
      <w:r w:rsidR="00DE5636">
        <w:rPr>
          <w:rFonts w:ascii="Times New Roman" w:eastAsia="Times New Roman" w:hAnsi="Times New Roman" w:cs="Times New Roman"/>
          <w:color w:val="000000"/>
          <w:sz w:val="24"/>
          <w:szCs w:val="24"/>
        </w:rPr>
        <w:t xml:space="preserve">were </w:t>
      </w:r>
      <w:r w:rsidR="00BF6FE7">
        <w:rPr>
          <w:rFonts w:ascii="Times New Roman" w:eastAsia="Times New Roman" w:hAnsi="Times New Roman" w:cs="Times New Roman"/>
          <w:color w:val="000000"/>
          <w:sz w:val="24"/>
          <w:szCs w:val="24"/>
        </w:rPr>
        <w:t>devastating</w:t>
      </w:r>
      <w:r w:rsidR="00024E2D">
        <w:rPr>
          <w:rFonts w:ascii="Times New Roman" w:eastAsia="Times New Roman" w:hAnsi="Times New Roman" w:cs="Times New Roman"/>
          <w:color w:val="000000"/>
          <w:sz w:val="24"/>
          <w:szCs w:val="24"/>
        </w:rPr>
        <w:t>:</w:t>
      </w:r>
    </w:p>
    <w:p w:rsidR="00DE5636" w:rsidRDefault="00DE5636" w:rsidP="00DE5636">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Across the Indian subcontinent, communities that had coexisted for almost a millennium attacked each other in a terrifying outbreak of sectarian violence, with Hindus and Sikhs on one side and Muslims on the other—a mutual genocide as unexpected as it was unprecedented … the carnage was especially intense, with massacres, arson, forced conversions, mass abductions, and savage sexual violence.  Some seventy-five thousand women were raped, and many of them were then disfigured or dismembered.</w:t>
      </w:r>
      <w:r>
        <w:rPr>
          <w:rStyle w:val="FootnoteReference"/>
          <w:rFonts w:ascii="Times New Roman" w:eastAsia="Times New Roman" w:hAnsi="Times New Roman" w:cs="Times New Roman"/>
          <w:color w:val="000000"/>
          <w:sz w:val="24"/>
          <w:szCs w:val="24"/>
        </w:rPr>
        <w:footnoteReference w:id="18"/>
      </w:r>
    </w:p>
    <w:p w:rsidR="00DE5636" w:rsidRDefault="00DE5636" w:rsidP="00DE5636">
      <w:pPr>
        <w:spacing w:after="0" w:line="240" w:lineRule="auto"/>
        <w:ind w:left="720"/>
        <w:rPr>
          <w:rFonts w:ascii="Times New Roman" w:eastAsia="Times New Roman" w:hAnsi="Times New Roman" w:cs="Times New Roman"/>
          <w:color w:val="000000"/>
          <w:sz w:val="24"/>
          <w:szCs w:val="24"/>
        </w:rPr>
      </w:pPr>
    </w:p>
    <w:p w:rsidR="00DE5636" w:rsidRDefault="007F6D8C" w:rsidP="005908C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Millions of refugees were forced to migrate from India to Pakistan and from Pakistan to India</w:t>
      </w:r>
      <w:r w:rsidR="0032492E">
        <w:rPr>
          <w:rFonts w:ascii="Times New Roman" w:eastAsia="Times New Roman" w:hAnsi="Times New Roman" w:cs="Times New Roman"/>
          <w:color w:val="000000"/>
          <w:sz w:val="24"/>
          <w:szCs w:val="24"/>
        </w:rPr>
        <w:t xml:space="preserve"> as tensions between different Indian parties prompted “passion, anarchy, and chaos</w:t>
      </w:r>
      <w:r>
        <w:rPr>
          <w:rFonts w:ascii="Times New Roman" w:eastAsia="Times New Roman" w:hAnsi="Times New Roman" w:cs="Times New Roman"/>
          <w:color w:val="000000"/>
          <w:sz w:val="24"/>
          <w:szCs w:val="24"/>
        </w:rPr>
        <w:t>.</w:t>
      </w:r>
      <w:r w:rsidR="0032492E">
        <w:rPr>
          <w:rFonts w:ascii="Times New Roman" w:eastAsia="Times New Roman" w:hAnsi="Times New Roman" w:cs="Times New Roman"/>
          <w:color w:val="000000"/>
          <w:sz w:val="24"/>
          <w:szCs w:val="24"/>
        </w:rPr>
        <w:t>”</w:t>
      </w:r>
      <w:r>
        <w:rPr>
          <w:rStyle w:val="FootnoteReference"/>
          <w:rFonts w:ascii="Times New Roman" w:eastAsia="Times New Roman" w:hAnsi="Times New Roman" w:cs="Times New Roman"/>
          <w:color w:val="000000"/>
          <w:sz w:val="24"/>
          <w:szCs w:val="24"/>
        </w:rPr>
        <w:footnoteReference w:id="19"/>
      </w:r>
      <w:r>
        <w:rPr>
          <w:rFonts w:ascii="Times New Roman" w:eastAsia="Times New Roman" w:hAnsi="Times New Roman" w:cs="Times New Roman"/>
          <w:color w:val="000000"/>
          <w:sz w:val="24"/>
          <w:szCs w:val="24"/>
        </w:rPr>
        <w:t xml:space="preserve">  </w:t>
      </w:r>
      <w:r w:rsidR="0032492E">
        <w:rPr>
          <w:rFonts w:ascii="Times New Roman" w:eastAsia="Times New Roman" w:hAnsi="Times New Roman" w:cs="Times New Roman"/>
          <w:color w:val="000000"/>
          <w:sz w:val="24"/>
          <w:szCs w:val="24"/>
        </w:rPr>
        <w:t xml:space="preserve">Britain’s hasty withdrawal and delegation of administration to the Indian people </w:t>
      </w:r>
      <w:r w:rsidR="00DE37BD">
        <w:rPr>
          <w:rFonts w:ascii="Times New Roman" w:eastAsia="Times New Roman" w:hAnsi="Times New Roman" w:cs="Times New Roman"/>
          <w:color w:val="000000"/>
          <w:sz w:val="24"/>
          <w:szCs w:val="24"/>
        </w:rPr>
        <w:t>created a bitter political and religious divide – to this day, “the Indo-Pak conflict remains the dominant geopolitical reality of the region.”</w:t>
      </w:r>
      <w:r w:rsidR="00DE37BD">
        <w:rPr>
          <w:rStyle w:val="FootnoteReference"/>
          <w:rFonts w:ascii="Times New Roman" w:eastAsia="Times New Roman" w:hAnsi="Times New Roman" w:cs="Times New Roman"/>
          <w:color w:val="000000"/>
          <w:sz w:val="24"/>
          <w:szCs w:val="24"/>
        </w:rPr>
        <w:footnoteReference w:id="20"/>
      </w:r>
    </w:p>
    <w:p w:rsidR="00DE37BD" w:rsidRDefault="00DE37BD" w:rsidP="005908C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Because of the introduction of the English language, British imperialism also influenced the literature read and written in British India.  Back when the East India Company still ruled over India, both </w:t>
      </w:r>
      <w:r w:rsidR="00611961">
        <w:rPr>
          <w:rFonts w:ascii="Times New Roman" w:eastAsia="Times New Roman" w:hAnsi="Times New Roman" w:cs="Times New Roman"/>
          <w:color w:val="000000"/>
          <w:sz w:val="24"/>
          <w:szCs w:val="24"/>
        </w:rPr>
        <w:t xml:space="preserve">British and Indian </w:t>
      </w:r>
      <w:r>
        <w:rPr>
          <w:rFonts w:ascii="Times New Roman" w:eastAsia="Times New Roman" w:hAnsi="Times New Roman" w:cs="Times New Roman"/>
          <w:color w:val="000000"/>
          <w:sz w:val="24"/>
          <w:szCs w:val="24"/>
        </w:rPr>
        <w:t>young men studied to</w:t>
      </w:r>
      <w:r w:rsidR="00611961">
        <w:rPr>
          <w:rFonts w:ascii="Times New Roman" w:eastAsia="Times New Roman" w:hAnsi="Times New Roman" w:cs="Times New Roman"/>
          <w:color w:val="000000"/>
          <w:sz w:val="24"/>
          <w:szCs w:val="24"/>
        </w:rPr>
        <w:t xml:space="preserve"> become bilingual, learning both English and the native Indian languages.</w:t>
      </w:r>
      <w:r w:rsidR="00611961">
        <w:rPr>
          <w:rStyle w:val="FootnoteReference"/>
          <w:rFonts w:ascii="Times New Roman" w:eastAsia="Times New Roman" w:hAnsi="Times New Roman" w:cs="Times New Roman"/>
          <w:color w:val="000000"/>
          <w:sz w:val="24"/>
          <w:szCs w:val="24"/>
        </w:rPr>
        <w:footnoteReference w:id="21"/>
      </w:r>
      <w:r w:rsidR="00611961">
        <w:rPr>
          <w:rFonts w:ascii="Times New Roman" w:eastAsia="Times New Roman" w:hAnsi="Times New Roman" w:cs="Times New Roman"/>
          <w:color w:val="000000"/>
          <w:sz w:val="24"/>
          <w:szCs w:val="24"/>
        </w:rPr>
        <w:t xml:space="preserve">  This led to more cross-cultural interactions between the British and Indians, as more and more people became able to communicate directly with each other and read the literature of both cultures.  </w:t>
      </w:r>
      <w:r w:rsidR="00687417">
        <w:rPr>
          <w:rFonts w:ascii="Times New Roman" w:eastAsia="Times New Roman" w:hAnsi="Times New Roman" w:cs="Times New Roman"/>
          <w:color w:val="000000"/>
          <w:sz w:val="24"/>
          <w:szCs w:val="24"/>
        </w:rPr>
        <w:t xml:space="preserve">Under the </w:t>
      </w:r>
      <w:r w:rsidR="00741059">
        <w:rPr>
          <w:rFonts w:ascii="Times New Roman" w:eastAsia="Times New Roman" w:hAnsi="Times New Roman" w:cs="Times New Roman"/>
          <w:color w:val="000000"/>
          <w:sz w:val="24"/>
          <w:szCs w:val="24"/>
        </w:rPr>
        <w:t>lenient</w:t>
      </w:r>
      <w:r w:rsidR="00687417">
        <w:rPr>
          <w:rFonts w:ascii="Times New Roman" w:eastAsia="Times New Roman" w:hAnsi="Times New Roman" w:cs="Times New Roman"/>
          <w:color w:val="000000"/>
          <w:sz w:val="24"/>
          <w:szCs w:val="24"/>
        </w:rPr>
        <w:t xml:space="preserve"> rule of the East India Company, Bengal</w:t>
      </w:r>
      <w:r w:rsidR="00562838">
        <w:rPr>
          <w:rFonts w:ascii="Times New Roman" w:eastAsia="Times New Roman" w:hAnsi="Times New Roman" w:cs="Times New Roman"/>
          <w:color w:val="000000"/>
          <w:sz w:val="24"/>
          <w:szCs w:val="24"/>
        </w:rPr>
        <w:t>i popular literature flourished;</w:t>
      </w:r>
      <w:r w:rsidR="00687417">
        <w:rPr>
          <w:rFonts w:ascii="Times New Roman" w:eastAsia="Times New Roman" w:hAnsi="Times New Roman" w:cs="Times New Roman"/>
          <w:color w:val="000000"/>
          <w:sz w:val="24"/>
          <w:szCs w:val="24"/>
        </w:rPr>
        <w:t xml:space="preserve"> </w:t>
      </w:r>
      <w:r w:rsidR="00562838">
        <w:rPr>
          <w:rFonts w:ascii="Times New Roman" w:eastAsia="Times New Roman" w:hAnsi="Times New Roman" w:cs="Times New Roman"/>
          <w:color w:val="000000"/>
          <w:sz w:val="24"/>
          <w:szCs w:val="24"/>
        </w:rPr>
        <w:t xml:space="preserve">printing shops in Calcutta sold almanacs and dramas and </w:t>
      </w:r>
      <w:r w:rsidR="00687417">
        <w:rPr>
          <w:rFonts w:ascii="Times New Roman" w:eastAsia="Times New Roman" w:hAnsi="Times New Roman" w:cs="Times New Roman"/>
          <w:color w:val="000000"/>
          <w:sz w:val="24"/>
          <w:szCs w:val="24"/>
        </w:rPr>
        <w:t xml:space="preserve">exciting religious tales of </w:t>
      </w:r>
      <w:r w:rsidR="00562838">
        <w:rPr>
          <w:rFonts w:ascii="Times New Roman" w:eastAsia="Times New Roman" w:hAnsi="Times New Roman" w:cs="Times New Roman"/>
          <w:color w:val="000000"/>
          <w:sz w:val="24"/>
          <w:szCs w:val="24"/>
        </w:rPr>
        <w:t>Hindu mythology by the thousands.</w:t>
      </w:r>
      <w:r w:rsidR="00562838">
        <w:rPr>
          <w:rStyle w:val="FootnoteReference"/>
          <w:rFonts w:ascii="Times New Roman" w:eastAsia="Times New Roman" w:hAnsi="Times New Roman" w:cs="Times New Roman"/>
          <w:color w:val="000000"/>
          <w:sz w:val="24"/>
          <w:szCs w:val="24"/>
        </w:rPr>
        <w:footnoteReference w:id="22"/>
      </w:r>
      <w:r w:rsidR="00562838">
        <w:rPr>
          <w:rFonts w:ascii="Times New Roman" w:eastAsia="Times New Roman" w:hAnsi="Times New Roman" w:cs="Times New Roman"/>
          <w:color w:val="000000"/>
          <w:sz w:val="24"/>
          <w:szCs w:val="24"/>
        </w:rPr>
        <w:t xml:space="preserve">  </w:t>
      </w:r>
      <w:r w:rsidR="00741059">
        <w:rPr>
          <w:rFonts w:ascii="Times New Roman" w:eastAsia="Times New Roman" w:hAnsi="Times New Roman" w:cs="Times New Roman"/>
          <w:color w:val="000000"/>
          <w:sz w:val="24"/>
          <w:szCs w:val="24"/>
        </w:rPr>
        <w:t xml:space="preserve">But after the abolishment of the East India Company in 1858, the British Raj began monitoring print production in India, </w:t>
      </w:r>
      <w:r w:rsidR="00741059">
        <w:rPr>
          <w:rFonts w:ascii="Times New Roman" w:eastAsia="Times New Roman" w:hAnsi="Times New Roman" w:cs="Times New Roman"/>
          <w:color w:val="000000"/>
          <w:sz w:val="24"/>
          <w:szCs w:val="24"/>
        </w:rPr>
        <w:lastRenderedPageBreak/>
        <w:t>cataloguing every book produced and analyzing the contents for any seditious material.</w:t>
      </w:r>
      <w:r w:rsidR="001E2CB0">
        <w:rPr>
          <w:rStyle w:val="FootnoteReference"/>
          <w:rFonts w:ascii="Times New Roman" w:eastAsia="Times New Roman" w:hAnsi="Times New Roman" w:cs="Times New Roman"/>
          <w:color w:val="000000"/>
          <w:sz w:val="24"/>
          <w:szCs w:val="24"/>
        </w:rPr>
        <w:footnoteReference w:id="23"/>
      </w:r>
      <w:r w:rsidR="00741059">
        <w:rPr>
          <w:rFonts w:ascii="Times New Roman" w:eastAsia="Times New Roman" w:hAnsi="Times New Roman" w:cs="Times New Roman"/>
          <w:color w:val="000000"/>
          <w:sz w:val="24"/>
          <w:szCs w:val="24"/>
        </w:rPr>
        <w:t xml:space="preserve">  </w:t>
      </w:r>
      <w:r w:rsidR="001E2CB0">
        <w:rPr>
          <w:rFonts w:ascii="Times New Roman" w:eastAsia="Times New Roman" w:hAnsi="Times New Roman" w:cs="Times New Roman"/>
          <w:color w:val="000000"/>
          <w:sz w:val="24"/>
          <w:szCs w:val="24"/>
        </w:rPr>
        <w:t>If the officials suspected a piece of literature, British censorship cracked down on publishers, authors, and printers alike – conducting police raids on bookshops and prosecuting offenders.</w:t>
      </w:r>
      <w:r w:rsidR="001E2CB0">
        <w:rPr>
          <w:rStyle w:val="FootnoteReference"/>
          <w:rFonts w:ascii="Times New Roman" w:eastAsia="Times New Roman" w:hAnsi="Times New Roman" w:cs="Times New Roman"/>
          <w:color w:val="000000"/>
          <w:sz w:val="24"/>
          <w:szCs w:val="24"/>
        </w:rPr>
        <w:footnoteReference w:id="24"/>
      </w:r>
    </w:p>
    <w:p w:rsidR="00611961" w:rsidRDefault="001E2CB0" w:rsidP="005908C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In contrast to the suppression of </w:t>
      </w:r>
      <w:r w:rsidR="00447A6B">
        <w:rPr>
          <w:rFonts w:ascii="Times New Roman" w:eastAsia="Times New Roman" w:hAnsi="Times New Roman" w:cs="Times New Roman"/>
          <w:color w:val="000000"/>
          <w:sz w:val="24"/>
          <w:szCs w:val="24"/>
        </w:rPr>
        <w:t xml:space="preserve">native Indian literature by the British Raj, the works of Anglo-Indian imperialistic writers such as Rudyard Kipling and George Orwell </w:t>
      </w:r>
      <w:r w:rsidR="00A27C2D">
        <w:rPr>
          <w:rFonts w:ascii="Times New Roman" w:eastAsia="Times New Roman" w:hAnsi="Times New Roman" w:cs="Times New Roman"/>
          <w:color w:val="000000"/>
          <w:sz w:val="24"/>
          <w:szCs w:val="24"/>
        </w:rPr>
        <w:t>flourished because of</w:t>
      </w:r>
      <w:r w:rsidR="00447A6B">
        <w:rPr>
          <w:rFonts w:ascii="Times New Roman" w:eastAsia="Times New Roman" w:hAnsi="Times New Roman" w:cs="Times New Roman"/>
          <w:color w:val="000000"/>
          <w:sz w:val="24"/>
          <w:szCs w:val="24"/>
        </w:rPr>
        <w:t xml:space="preserve"> their </w:t>
      </w:r>
      <w:r w:rsidR="00A27C2D">
        <w:rPr>
          <w:rFonts w:ascii="Times New Roman" w:eastAsia="Times New Roman" w:hAnsi="Times New Roman" w:cs="Times New Roman"/>
          <w:color w:val="000000"/>
          <w:sz w:val="24"/>
          <w:szCs w:val="24"/>
        </w:rPr>
        <w:t xml:space="preserve">profound </w:t>
      </w:r>
      <w:r w:rsidR="00447A6B">
        <w:rPr>
          <w:rFonts w:ascii="Times New Roman" w:eastAsia="Times New Roman" w:hAnsi="Times New Roman" w:cs="Times New Roman"/>
          <w:color w:val="000000"/>
          <w:sz w:val="24"/>
          <w:szCs w:val="24"/>
        </w:rPr>
        <w:t>life</w:t>
      </w:r>
      <w:r w:rsidR="00104E8A">
        <w:rPr>
          <w:rFonts w:ascii="Times New Roman" w:eastAsia="Times New Roman" w:hAnsi="Times New Roman" w:cs="Times New Roman"/>
          <w:color w:val="000000"/>
          <w:sz w:val="24"/>
          <w:szCs w:val="24"/>
        </w:rPr>
        <w:t xml:space="preserve"> experiences in India.  Kipling’s honest portrayal of India in his various works belies his love for India and his respect for its people, </w:t>
      </w:r>
      <w:r w:rsidR="00A27C2D">
        <w:rPr>
          <w:rFonts w:ascii="Times New Roman" w:eastAsia="Times New Roman" w:hAnsi="Times New Roman" w:cs="Times New Roman"/>
          <w:color w:val="000000"/>
          <w:sz w:val="24"/>
          <w:szCs w:val="24"/>
        </w:rPr>
        <w:t>although</w:t>
      </w:r>
      <w:r w:rsidR="00104E8A">
        <w:rPr>
          <w:rFonts w:ascii="Times New Roman" w:eastAsia="Times New Roman" w:hAnsi="Times New Roman" w:cs="Times New Roman"/>
          <w:color w:val="000000"/>
          <w:sz w:val="24"/>
          <w:szCs w:val="24"/>
        </w:rPr>
        <w:t xml:space="preserve"> he regard</w:t>
      </w:r>
      <w:r w:rsidR="00A06855">
        <w:rPr>
          <w:rFonts w:ascii="Times New Roman" w:eastAsia="Times New Roman" w:hAnsi="Times New Roman" w:cs="Times New Roman"/>
          <w:color w:val="000000"/>
          <w:sz w:val="24"/>
          <w:szCs w:val="24"/>
        </w:rPr>
        <w:t>ed</w:t>
      </w:r>
      <w:r w:rsidR="00104E8A">
        <w:rPr>
          <w:rFonts w:ascii="Times New Roman" w:eastAsia="Times New Roman" w:hAnsi="Times New Roman" w:cs="Times New Roman"/>
          <w:color w:val="000000"/>
          <w:sz w:val="24"/>
          <w:szCs w:val="24"/>
        </w:rPr>
        <w:t xml:space="preserve"> Indians to be inferior and less capable than the British.</w:t>
      </w:r>
      <w:r w:rsidR="00104E8A">
        <w:rPr>
          <w:rStyle w:val="FootnoteReference"/>
          <w:rFonts w:ascii="Times New Roman" w:eastAsia="Times New Roman" w:hAnsi="Times New Roman" w:cs="Times New Roman"/>
          <w:color w:val="000000"/>
          <w:sz w:val="24"/>
          <w:szCs w:val="24"/>
        </w:rPr>
        <w:footnoteReference w:id="25"/>
      </w:r>
      <w:r w:rsidR="00104E8A">
        <w:rPr>
          <w:rFonts w:ascii="Times New Roman" w:eastAsia="Times New Roman" w:hAnsi="Times New Roman" w:cs="Times New Roman"/>
          <w:color w:val="000000"/>
          <w:sz w:val="24"/>
          <w:szCs w:val="24"/>
        </w:rPr>
        <w:t xml:space="preserve">  In his controversial poem “The White Man’s Burden,” the imperial poet justifies imperialism because it is the duty </w:t>
      </w:r>
      <w:r w:rsidR="00A06855">
        <w:rPr>
          <w:rFonts w:ascii="Times New Roman" w:eastAsia="Times New Roman" w:hAnsi="Times New Roman" w:cs="Times New Roman"/>
          <w:color w:val="000000"/>
          <w:sz w:val="24"/>
          <w:szCs w:val="24"/>
        </w:rPr>
        <w:t>of the richer and more civilized nations to better the lives of those who are not:</w:t>
      </w:r>
    </w:p>
    <w:p w:rsidR="00A06855" w:rsidRDefault="00A06855" w:rsidP="00A06855">
      <w:pPr>
        <w:spacing w:after="0" w:line="240" w:lineRule="auto"/>
        <w:ind w:left="720"/>
        <w:rPr>
          <w:rFonts w:ascii="Times New Roman" w:hAnsi="Times New Roman" w:cs="Times New Roman"/>
          <w:color w:val="000000"/>
          <w:sz w:val="24"/>
          <w:szCs w:val="18"/>
          <w:shd w:val="clear" w:color="auto" w:fill="FFFFFF"/>
        </w:rPr>
      </w:pPr>
      <w:r w:rsidRPr="00A06855">
        <w:rPr>
          <w:rFonts w:ascii="Times New Roman" w:hAnsi="Times New Roman" w:cs="Times New Roman"/>
          <w:color w:val="000000"/>
          <w:sz w:val="24"/>
          <w:szCs w:val="18"/>
          <w:shd w:val="clear" w:color="auto" w:fill="FFFFFF"/>
        </w:rPr>
        <w:t>Take up the White Man's burden--</w:t>
      </w:r>
      <w:r w:rsidRPr="00A06855">
        <w:rPr>
          <w:rFonts w:ascii="Times New Roman" w:hAnsi="Times New Roman" w:cs="Times New Roman"/>
          <w:color w:val="000000"/>
          <w:sz w:val="24"/>
          <w:szCs w:val="18"/>
        </w:rPr>
        <w:br/>
      </w:r>
      <w:r w:rsidRPr="00A06855">
        <w:rPr>
          <w:rFonts w:ascii="Times New Roman" w:hAnsi="Times New Roman" w:cs="Times New Roman"/>
          <w:color w:val="000000"/>
          <w:sz w:val="24"/>
          <w:szCs w:val="18"/>
          <w:shd w:val="clear" w:color="auto" w:fill="FFFFFF"/>
        </w:rPr>
        <w:t>Send forth the best ye breed--</w:t>
      </w:r>
      <w:r w:rsidRPr="00A06855">
        <w:rPr>
          <w:rFonts w:ascii="Times New Roman" w:hAnsi="Times New Roman" w:cs="Times New Roman"/>
          <w:color w:val="000000"/>
          <w:sz w:val="24"/>
          <w:szCs w:val="18"/>
        </w:rPr>
        <w:br/>
      </w:r>
      <w:r w:rsidRPr="00A06855">
        <w:rPr>
          <w:rFonts w:ascii="Times New Roman" w:hAnsi="Times New Roman" w:cs="Times New Roman"/>
          <w:color w:val="000000"/>
          <w:sz w:val="24"/>
          <w:szCs w:val="18"/>
          <w:shd w:val="clear" w:color="auto" w:fill="FFFFFF"/>
        </w:rPr>
        <w:t>Go bind your sons to exile</w:t>
      </w:r>
      <w:r w:rsidRPr="00A06855">
        <w:rPr>
          <w:rFonts w:ascii="Times New Roman" w:hAnsi="Times New Roman" w:cs="Times New Roman"/>
          <w:color w:val="000000"/>
          <w:sz w:val="24"/>
          <w:szCs w:val="18"/>
        </w:rPr>
        <w:br/>
      </w:r>
      <w:r w:rsidRPr="00A06855">
        <w:rPr>
          <w:rFonts w:ascii="Times New Roman" w:hAnsi="Times New Roman" w:cs="Times New Roman"/>
          <w:color w:val="000000"/>
          <w:sz w:val="24"/>
          <w:szCs w:val="18"/>
          <w:shd w:val="clear" w:color="auto" w:fill="FFFFFF"/>
        </w:rPr>
        <w:t>To serve your captives' need;</w:t>
      </w:r>
      <w:r w:rsidRPr="00A06855">
        <w:rPr>
          <w:rFonts w:ascii="Times New Roman" w:hAnsi="Times New Roman" w:cs="Times New Roman"/>
          <w:color w:val="000000"/>
          <w:sz w:val="24"/>
          <w:szCs w:val="18"/>
        </w:rPr>
        <w:br/>
      </w:r>
      <w:r w:rsidRPr="00A06855">
        <w:rPr>
          <w:rFonts w:ascii="Times New Roman" w:hAnsi="Times New Roman" w:cs="Times New Roman"/>
          <w:color w:val="000000"/>
          <w:sz w:val="24"/>
          <w:szCs w:val="18"/>
          <w:shd w:val="clear" w:color="auto" w:fill="FFFFFF"/>
        </w:rPr>
        <w:t>To wait in heavy harness,</w:t>
      </w:r>
      <w:r w:rsidRPr="00A06855">
        <w:rPr>
          <w:rFonts w:ascii="Times New Roman" w:hAnsi="Times New Roman" w:cs="Times New Roman"/>
          <w:color w:val="000000"/>
          <w:sz w:val="24"/>
          <w:szCs w:val="18"/>
        </w:rPr>
        <w:br/>
      </w:r>
      <w:r w:rsidRPr="00A06855">
        <w:rPr>
          <w:rFonts w:ascii="Times New Roman" w:hAnsi="Times New Roman" w:cs="Times New Roman"/>
          <w:color w:val="000000"/>
          <w:sz w:val="24"/>
          <w:szCs w:val="18"/>
          <w:shd w:val="clear" w:color="auto" w:fill="FFFFFF"/>
        </w:rPr>
        <w:t>On fluttered folk and wild--</w:t>
      </w:r>
      <w:r w:rsidRPr="00A06855">
        <w:rPr>
          <w:rFonts w:ascii="Times New Roman" w:hAnsi="Times New Roman" w:cs="Times New Roman"/>
          <w:color w:val="000000"/>
          <w:sz w:val="24"/>
          <w:szCs w:val="18"/>
        </w:rPr>
        <w:br/>
      </w:r>
      <w:r w:rsidRPr="00A06855">
        <w:rPr>
          <w:rFonts w:ascii="Times New Roman" w:hAnsi="Times New Roman" w:cs="Times New Roman"/>
          <w:color w:val="000000"/>
          <w:sz w:val="24"/>
          <w:szCs w:val="18"/>
          <w:shd w:val="clear" w:color="auto" w:fill="FFFFFF"/>
        </w:rPr>
        <w:t>Your new-caught, sullen peoples,</w:t>
      </w:r>
      <w:r w:rsidRPr="00A06855">
        <w:rPr>
          <w:rFonts w:ascii="Times New Roman" w:hAnsi="Times New Roman" w:cs="Times New Roman"/>
          <w:color w:val="000000"/>
          <w:sz w:val="24"/>
          <w:szCs w:val="18"/>
        </w:rPr>
        <w:br/>
      </w:r>
      <w:r w:rsidRPr="00A06855">
        <w:rPr>
          <w:rFonts w:ascii="Times New Roman" w:hAnsi="Times New Roman" w:cs="Times New Roman"/>
          <w:color w:val="000000"/>
          <w:sz w:val="24"/>
          <w:szCs w:val="18"/>
          <w:shd w:val="clear" w:color="auto" w:fill="FFFFFF"/>
        </w:rPr>
        <w:t>Half-devil and half-child.</w:t>
      </w:r>
      <w:r>
        <w:rPr>
          <w:rStyle w:val="FootnoteReference"/>
          <w:rFonts w:ascii="Times New Roman" w:hAnsi="Times New Roman" w:cs="Times New Roman"/>
          <w:color w:val="000000"/>
          <w:sz w:val="24"/>
          <w:szCs w:val="18"/>
          <w:shd w:val="clear" w:color="auto" w:fill="FFFFFF"/>
        </w:rPr>
        <w:footnoteReference w:id="26"/>
      </w:r>
    </w:p>
    <w:p w:rsidR="00A06855" w:rsidRDefault="00A06855" w:rsidP="00A06855">
      <w:pPr>
        <w:spacing w:after="0" w:line="240" w:lineRule="auto"/>
        <w:ind w:left="720"/>
        <w:rPr>
          <w:rFonts w:ascii="Times New Roman" w:hAnsi="Times New Roman" w:cs="Times New Roman"/>
          <w:color w:val="000000"/>
          <w:sz w:val="24"/>
          <w:szCs w:val="18"/>
          <w:shd w:val="clear" w:color="auto" w:fill="FFFFFF"/>
        </w:rPr>
      </w:pPr>
    </w:p>
    <w:p w:rsidR="00A06855" w:rsidRDefault="00A06855" w:rsidP="005908C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Orwell, on the other hand</w:t>
      </w:r>
      <w:r w:rsidR="00E27FEC">
        <w:rPr>
          <w:rFonts w:ascii="Times New Roman" w:eastAsia="Times New Roman" w:hAnsi="Times New Roman" w:cs="Times New Roman"/>
          <w:color w:val="000000"/>
          <w:sz w:val="24"/>
          <w:szCs w:val="24"/>
        </w:rPr>
        <w:t xml:space="preserve">, clearly denounces the British colonial empire in his essay “Shooting an Elephant” </w:t>
      </w:r>
      <w:r w:rsidR="00A27C2D">
        <w:rPr>
          <w:rFonts w:ascii="Times New Roman" w:eastAsia="Times New Roman" w:hAnsi="Times New Roman" w:cs="Times New Roman"/>
          <w:color w:val="000000"/>
          <w:sz w:val="24"/>
          <w:szCs w:val="24"/>
        </w:rPr>
        <w:t>by</w:t>
      </w:r>
      <w:r w:rsidR="00E27FEC">
        <w:rPr>
          <w:rFonts w:ascii="Times New Roman" w:eastAsia="Times New Roman" w:hAnsi="Times New Roman" w:cs="Times New Roman"/>
          <w:color w:val="000000"/>
          <w:sz w:val="24"/>
          <w:szCs w:val="24"/>
        </w:rPr>
        <w:t xml:space="preserve"> declaring that “imperialism was an evil thing.”</w:t>
      </w:r>
      <w:r w:rsidR="00E27FEC">
        <w:rPr>
          <w:rStyle w:val="FootnoteReference"/>
          <w:rFonts w:ascii="Times New Roman" w:eastAsia="Times New Roman" w:hAnsi="Times New Roman" w:cs="Times New Roman"/>
          <w:color w:val="000000"/>
          <w:sz w:val="24"/>
          <w:szCs w:val="24"/>
        </w:rPr>
        <w:footnoteReference w:id="27"/>
      </w:r>
      <w:r w:rsidR="00E27FEC">
        <w:rPr>
          <w:rFonts w:ascii="Times New Roman" w:eastAsia="Times New Roman" w:hAnsi="Times New Roman" w:cs="Times New Roman"/>
          <w:color w:val="000000"/>
          <w:sz w:val="24"/>
          <w:szCs w:val="24"/>
        </w:rPr>
        <w:t xml:space="preserve">  Imperialism is when the white man establishes tyranny over lesser peoples, and “when the white man turns tyrant it is his own freedom that he destroys.”</w:t>
      </w:r>
      <w:r w:rsidR="00E27FEC">
        <w:rPr>
          <w:rStyle w:val="FootnoteReference"/>
          <w:rFonts w:ascii="Times New Roman" w:eastAsia="Times New Roman" w:hAnsi="Times New Roman" w:cs="Times New Roman"/>
          <w:color w:val="000000"/>
          <w:sz w:val="24"/>
          <w:szCs w:val="24"/>
        </w:rPr>
        <w:footnoteReference w:id="28"/>
      </w:r>
      <w:r w:rsidR="00E27FEC">
        <w:rPr>
          <w:rFonts w:ascii="Times New Roman" w:eastAsia="Times New Roman" w:hAnsi="Times New Roman" w:cs="Times New Roman"/>
          <w:color w:val="000000"/>
          <w:sz w:val="24"/>
          <w:szCs w:val="24"/>
        </w:rPr>
        <w:t xml:space="preserve">  Both Kipling and Orwell drew on personal experiences to write </w:t>
      </w:r>
      <w:r w:rsidR="00E27FEC">
        <w:rPr>
          <w:rFonts w:ascii="Times New Roman" w:eastAsia="Times New Roman" w:hAnsi="Times New Roman" w:cs="Times New Roman"/>
          <w:color w:val="000000"/>
          <w:sz w:val="24"/>
          <w:szCs w:val="24"/>
        </w:rPr>
        <w:lastRenderedPageBreak/>
        <w:t>about life in colonial India, and both the native Indian culture and oppression</w:t>
      </w:r>
      <w:r w:rsidR="00A27C2D">
        <w:rPr>
          <w:rFonts w:ascii="Times New Roman" w:eastAsia="Times New Roman" w:hAnsi="Times New Roman" w:cs="Times New Roman"/>
          <w:color w:val="000000"/>
          <w:sz w:val="24"/>
          <w:szCs w:val="24"/>
        </w:rPr>
        <w:t xml:space="preserve"> by the British</w:t>
      </w:r>
      <w:r w:rsidR="00E27FEC">
        <w:rPr>
          <w:rFonts w:ascii="Times New Roman" w:eastAsia="Times New Roman" w:hAnsi="Times New Roman" w:cs="Times New Roman"/>
          <w:color w:val="000000"/>
          <w:sz w:val="24"/>
          <w:szCs w:val="24"/>
        </w:rPr>
        <w:t xml:space="preserve"> are reflected in the Anglo-Indian writers’ works.</w:t>
      </w:r>
    </w:p>
    <w:p w:rsidR="00A06855" w:rsidRPr="005908C0" w:rsidRDefault="00CA1271" w:rsidP="005908C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A society can be defined by the food its people consume; for Britain and India, their long, shared history means they share culinary interests, too.  Curry has become such a </w:t>
      </w:r>
      <w:r w:rsidR="009433C9">
        <w:rPr>
          <w:rFonts w:ascii="Times New Roman" w:eastAsia="Times New Roman" w:hAnsi="Times New Roman" w:cs="Times New Roman"/>
          <w:color w:val="000000"/>
          <w:sz w:val="24"/>
          <w:szCs w:val="24"/>
        </w:rPr>
        <w:t>popular dish in the United Kingdom that the British now celebrate a National Curry Week.</w:t>
      </w:r>
      <w:r w:rsidR="009433C9">
        <w:rPr>
          <w:rStyle w:val="FootnoteReference"/>
          <w:rFonts w:ascii="Times New Roman" w:eastAsia="Times New Roman" w:hAnsi="Times New Roman" w:cs="Times New Roman"/>
          <w:color w:val="000000"/>
          <w:sz w:val="24"/>
          <w:szCs w:val="24"/>
        </w:rPr>
        <w:footnoteReference w:id="29"/>
      </w:r>
      <w:r w:rsidR="009433C9">
        <w:rPr>
          <w:rFonts w:ascii="Times New Roman" w:eastAsia="Times New Roman" w:hAnsi="Times New Roman" w:cs="Times New Roman"/>
          <w:color w:val="000000"/>
          <w:sz w:val="24"/>
          <w:szCs w:val="24"/>
        </w:rPr>
        <w:t xml:space="preserve">  The word “curry” actually comes from the Tamil word </w:t>
      </w:r>
      <w:proofErr w:type="spellStart"/>
      <w:proofErr w:type="gramStart"/>
      <w:r w:rsidR="009433C9">
        <w:rPr>
          <w:rFonts w:ascii="Times New Roman" w:eastAsia="Times New Roman" w:hAnsi="Times New Roman" w:cs="Times New Roman"/>
          <w:i/>
          <w:color w:val="000000"/>
          <w:sz w:val="24"/>
          <w:szCs w:val="24"/>
        </w:rPr>
        <w:t>kari</w:t>
      </w:r>
      <w:proofErr w:type="spellEnd"/>
      <w:proofErr w:type="gramEnd"/>
      <w:r w:rsidR="009433C9">
        <w:rPr>
          <w:rFonts w:ascii="Times New Roman" w:eastAsia="Times New Roman" w:hAnsi="Times New Roman" w:cs="Times New Roman"/>
          <w:color w:val="000000"/>
          <w:sz w:val="24"/>
          <w:szCs w:val="24"/>
        </w:rPr>
        <w:t>, a spiced sauce, but curry has evolved to denote many different kinds of savory and spiced dishes from around the world.</w:t>
      </w:r>
      <w:r w:rsidR="009433C9">
        <w:rPr>
          <w:rStyle w:val="FootnoteReference"/>
          <w:rFonts w:ascii="Times New Roman" w:eastAsia="Times New Roman" w:hAnsi="Times New Roman" w:cs="Times New Roman"/>
          <w:color w:val="000000"/>
          <w:sz w:val="24"/>
          <w:szCs w:val="24"/>
        </w:rPr>
        <w:footnoteReference w:id="30"/>
      </w:r>
      <w:r w:rsidR="009433C9">
        <w:rPr>
          <w:rFonts w:ascii="Times New Roman" w:eastAsia="Times New Roman" w:hAnsi="Times New Roman" w:cs="Times New Roman"/>
          <w:color w:val="000000"/>
          <w:sz w:val="24"/>
          <w:szCs w:val="24"/>
        </w:rPr>
        <w:t xml:space="preserve">  And the original </w:t>
      </w:r>
      <w:proofErr w:type="spellStart"/>
      <w:proofErr w:type="gramStart"/>
      <w:r w:rsidR="009433C9">
        <w:rPr>
          <w:rFonts w:ascii="Times New Roman" w:eastAsia="Times New Roman" w:hAnsi="Times New Roman" w:cs="Times New Roman"/>
          <w:color w:val="000000"/>
          <w:sz w:val="24"/>
          <w:szCs w:val="24"/>
        </w:rPr>
        <w:t>kari</w:t>
      </w:r>
      <w:proofErr w:type="spellEnd"/>
      <w:proofErr w:type="gramEnd"/>
      <w:r w:rsidR="009433C9">
        <w:rPr>
          <w:rFonts w:ascii="Times New Roman" w:eastAsia="Times New Roman" w:hAnsi="Times New Roman" w:cs="Times New Roman"/>
          <w:color w:val="000000"/>
          <w:sz w:val="24"/>
          <w:szCs w:val="24"/>
        </w:rPr>
        <w:t xml:space="preserve"> has evolved too</w:t>
      </w:r>
      <w:r w:rsidR="00FE6EAD">
        <w:rPr>
          <w:rFonts w:ascii="Times New Roman" w:eastAsia="Times New Roman" w:hAnsi="Times New Roman" w:cs="Times New Roman"/>
          <w:color w:val="000000"/>
          <w:sz w:val="24"/>
          <w:szCs w:val="24"/>
        </w:rPr>
        <w:t>, now incorporating chilies from the Western Hemisphere introduced by the British.</w:t>
      </w:r>
      <w:r w:rsidR="00FE6EAD">
        <w:rPr>
          <w:rStyle w:val="FootnoteReference"/>
          <w:rFonts w:ascii="Times New Roman" w:eastAsia="Times New Roman" w:hAnsi="Times New Roman" w:cs="Times New Roman"/>
          <w:color w:val="000000"/>
          <w:sz w:val="24"/>
          <w:szCs w:val="24"/>
        </w:rPr>
        <w:footnoteReference w:id="31"/>
      </w:r>
    </w:p>
    <w:p w:rsidR="005908C0" w:rsidRDefault="00FE6EAD" w:rsidP="005908C0">
      <w:pPr>
        <w:spacing w:after="0"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Tea also has a rich history in both Britain and India.  The “most English of drinks,” it was first grown in India by the British, who didn’t want to pay the expensive prices charged by the Chinese.</w:t>
      </w:r>
      <w:r>
        <w:rPr>
          <w:rStyle w:val="FootnoteReference"/>
          <w:rFonts w:ascii="Times New Roman" w:eastAsia="Times New Roman" w:hAnsi="Times New Roman" w:cs="Times New Roman"/>
          <w:color w:val="000000"/>
          <w:sz w:val="24"/>
          <w:szCs w:val="24"/>
        </w:rPr>
        <w:footnoteReference w:id="32"/>
      </w:r>
      <w:r>
        <w:rPr>
          <w:rFonts w:ascii="Times New Roman" w:eastAsia="Times New Roman" w:hAnsi="Times New Roman" w:cs="Times New Roman"/>
          <w:color w:val="000000"/>
          <w:sz w:val="24"/>
          <w:szCs w:val="24"/>
        </w:rPr>
        <w:t xml:space="preserve">  The tea industry found a large consumer base in Great Britain and drinking tea quickly became </w:t>
      </w:r>
      <w:r w:rsidR="00F423BC">
        <w:rPr>
          <w:rFonts w:ascii="Times New Roman" w:eastAsia="Times New Roman" w:hAnsi="Times New Roman" w:cs="Times New Roman"/>
          <w:color w:val="000000"/>
          <w:sz w:val="24"/>
          <w:szCs w:val="24"/>
        </w:rPr>
        <w:t xml:space="preserve">a social ritual much like in India.  </w:t>
      </w:r>
      <w:r w:rsidR="008B5FAE">
        <w:rPr>
          <w:rFonts w:ascii="Times New Roman" w:eastAsia="Times New Roman" w:hAnsi="Times New Roman" w:cs="Times New Roman"/>
          <w:color w:val="000000"/>
          <w:sz w:val="24"/>
          <w:szCs w:val="24"/>
        </w:rPr>
        <w:t>Tea plantations also played a significant role in an Indian economy dominated by agriculture.  Data from the 1891 and 1901 censuses show that the proportion of the total population in British India “directly engaged in agriculture” was 62 percent and 68 percent respectively.</w:t>
      </w:r>
      <w:r w:rsidR="008B5FAE">
        <w:rPr>
          <w:rStyle w:val="FootnoteReference"/>
          <w:rFonts w:ascii="Times New Roman" w:eastAsia="Times New Roman" w:hAnsi="Times New Roman" w:cs="Times New Roman"/>
          <w:color w:val="000000"/>
          <w:sz w:val="24"/>
          <w:szCs w:val="24"/>
        </w:rPr>
        <w:footnoteReference w:id="33"/>
      </w:r>
      <w:r w:rsidR="008B5FAE">
        <w:rPr>
          <w:rFonts w:ascii="Times New Roman" w:eastAsia="Times New Roman" w:hAnsi="Times New Roman" w:cs="Times New Roman"/>
          <w:color w:val="000000"/>
          <w:sz w:val="24"/>
          <w:szCs w:val="24"/>
        </w:rPr>
        <w:t xml:space="preserve">  </w:t>
      </w:r>
      <w:r w:rsidR="003915C8">
        <w:rPr>
          <w:rFonts w:ascii="Times New Roman" w:eastAsia="Times New Roman" w:hAnsi="Times New Roman" w:cs="Times New Roman"/>
          <w:color w:val="000000"/>
          <w:sz w:val="24"/>
          <w:szCs w:val="24"/>
        </w:rPr>
        <w:t>Beyond that, it was estimated that “nine-tenths of the rural population live[d], directly or indirectly, by agriculture.</w:t>
      </w:r>
      <w:r w:rsidR="003915C8">
        <w:rPr>
          <w:rStyle w:val="FootnoteReference"/>
          <w:rFonts w:ascii="Times New Roman" w:eastAsia="Times New Roman" w:hAnsi="Times New Roman" w:cs="Times New Roman"/>
          <w:color w:val="000000"/>
          <w:sz w:val="24"/>
          <w:szCs w:val="24"/>
        </w:rPr>
        <w:footnoteReference w:id="34"/>
      </w:r>
      <w:r w:rsidR="008269B7">
        <w:rPr>
          <w:rFonts w:ascii="Times New Roman" w:eastAsia="Times New Roman" w:hAnsi="Times New Roman" w:cs="Times New Roman"/>
          <w:color w:val="000000"/>
          <w:sz w:val="24"/>
          <w:szCs w:val="24"/>
        </w:rPr>
        <w:t xml:space="preserve">  British investment in agriculture through cotton textiles and tea leaves fueled the Indian economy and established </w:t>
      </w:r>
      <w:r w:rsidR="00A27C2D">
        <w:rPr>
          <w:rFonts w:ascii="Times New Roman" w:eastAsia="Times New Roman" w:hAnsi="Times New Roman" w:cs="Times New Roman"/>
          <w:color w:val="000000"/>
          <w:sz w:val="24"/>
          <w:szCs w:val="24"/>
        </w:rPr>
        <w:t xml:space="preserve">trade </w:t>
      </w:r>
      <w:r w:rsidR="008269B7">
        <w:rPr>
          <w:rFonts w:ascii="Times New Roman" w:eastAsia="Times New Roman" w:hAnsi="Times New Roman" w:cs="Times New Roman"/>
          <w:color w:val="000000"/>
          <w:sz w:val="24"/>
          <w:szCs w:val="24"/>
        </w:rPr>
        <w:t xml:space="preserve">ties between the two countries.  </w:t>
      </w:r>
      <w:r w:rsidR="00F423BC">
        <w:rPr>
          <w:rFonts w:ascii="Times New Roman" w:eastAsia="Times New Roman" w:hAnsi="Times New Roman" w:cs="Times New Roman"/>
          <w:color w:val="000000"/>
          <w:sz w:val="24"/>
          <w:szCs w:val="24"/>
        </w:rPr>
        <w:t xml:space="preserve">The Lipton tea company, for example, </w:t>
      </w:r>
      <w:r w:rsidR="00A27C2D">
        <w:rPr>
          <w:rFonts w:ascii="Times New Roman" w:eastAsia="Times New Roman" w:hAnsi="Times New Roman" w:cs="Times New Roman"/>
          <w:color w:val="000000"/>
          <w:sz w:val="24"/>
          <w:szCs w:val="24"/>
        </w:rPr>
        <w:t xml:space="preserve">cultivated “RICH, PURE, &amp; FRAGRANT” tea in India and </w:t>
      </w:r>
      <w:r w:rsidR="00F423BC">
        <w:rPr>
          <w:rFonts w:ascii="Times New Roman" w:eastAsia="Times New Roman" w:hAnsi="Times New Roman" w:cs="Times New Roman"/>
          <w:color w:val="000000"/>
          <w:sz w:val="24"/>
          <w:szCs w:val="24"/>
        </w:rPr>
        <w:t xml:space="preserve">sold over one million </w:t>
      </w:r>
      <w:r w:rsidR="00A27C2D">
        <w:rPr>
          <w:rFonts w:ascii="Times New Roman" w:eastAsia="Times New Roman" w:hAnsi="Times New Roman" w:cs="Times New Roman"/>
          <w:color w:val="000000"/>
          <w:sz w:val="24"/>
          <w:szCs w:val="24"/>
        </w:rPr>
        <w:t xml:space="preserve">tea </w:t>
      </w:r>
      <w:r w:rsidR="00F423BC">
        <w:rPr>
          <w:rFonts w:ascii="Times New Roman" w:eastAsia="Times New Roman" w:hAnsi="Times New Roman" w:cs="Times New Roman"/>
          <w:color w:val="000000"/>
          <w:sz w:val="24"/>
          <w:szCs w:val="24"/>
        </w:rPr>
        <w:t xml:space="preserve">packets weekly </w:t>
      </w:r>
      <w:r w:rsidR="00A27C2D">
        <w:rPr>
          <w:rFonts w:ascii="Times New Roman" w:eastAsia="Times New Roman" w:hAnsi="Times New Roman" w:cs="Times New Roman"/>
          <w:color w:val="000000"/>
          <w:sz w:val="24"/>
          <w:szCs w:val="24"/>
        </w:rPr>
        <w:t>in</w:t>
      </w:r>
      <w:r w:rsidR="00F423BC">
        <w:rPr>
          <w:rFonts w:ascii="Times New Roman" w:eastAsia="Times New Roman" w:hAnsi="Times New Roman" w:cs="Times New Roman"/>
          <w:color w:val="000000"/>
          <w:sz w:val="24"/>
          <w:szCs w:val="24"/>
        </w:rPr>
        <w:t xml:space="preserve"> office branches </w:t>
      </w:r>
      <w:r w:rsidR="00F423BC">
        <w:rPr>
          <w:rFonts w:ascii="Times New Roman" w:eastAsia="Times New Roman" w:hAnsi="Times New Roman" w:cs="Times New Roman"/>
          <w:color w:val="000000"/>
          <w:sz w:val="24"/>
          <w:szCs w:val="24"/>
        </w:rPr>
        <w:lastRenderedPageBreak/>
        <w:t>throughout Great Britain and Ireland.</w:t>
      </w:r>
      <w:r w:rsidR="00F423BC">
        <w:rPr>
          <w:rStyle w:val="FootnoteReference"/>
          <w:rFonts w:ascii="Times New Roman" w:eastAsia="Times New Roman" w:hAnsi="Times New Roman" w:cs="Times New Roman"/>
          <w:color w:val="000000"/>
          <w:sz w:val="24"/>
          <w:szCs w:val="24"/>
        </w:rPr>
        <w:footnoteReference w:id="35"/>
      </w:r>
      <w:r w:rsidR="00F423BC">
        <w:rPr>
          <w:rFonts w:ascii="Times New Roman" w:eastAsia="Times New Roman" w:hAnsi="Times New Roman" w:cs="Times New Roman"/>
          <w:color w:val="000000"/>
          <w:sz w:val="24"/>
          <w:szCs w:val="24"/>
        </w:rPr>
        <w:t xml:space="preserve">  </w:t>
      </w:r>
      <w:r w:rsidR="00A27C2D">
        <w:rPr>
          <w:rFonts w:ascii="Times New Roman" w:eastAsia="Times New Roman" w:hAnsi="Times New Roman" w:cs="Times New Roman"/>
          <w:color w:val="000000"/>
          <w:sz w:val="24"/>
          <w:szCs w:val="24"/>
        </w:rPr>
        <w:t xml:space="preserve">Today, tea still is a commonly favored drink among </w:t>
      </w:r>
      <w:r w:rsidR="00B47A4E">
        <w:rPr>
          <w:rFonts w:ascii="Times New Roman" w:eastAsia="Times New Roman" w:hAnsi="Times New Roman" w:cs="Times New Roman"/>
          <w:color w:val="000000"/>
          <w:sz w:val="24"/>
          <w:szCs w:val="24"/>
        </w:rPr>
        <w:t xml:space="preserve">both </w:t>
      </w:r>
      <w:r w:rsidR="00A27C2D">
        <w:rPr>
          <w:rFonts w:ascii="Times New Roman" w:eastAsia="Times New Roman" w:hAnsi="Times New Roman" w:cs="Times New Roman"/>
          <w:color w:val="000000"/>
          <w:sz w:val="24"/>
          <w:szCs w:val="24"/>
        </w:rPr>
        <w:t>Indians and Brits</w:t>
      </w:r>
      <w:r w:rsidR="00F423BC">
        <w:rPr>
          <w:rFonts w:ascii="Times New Roman" w:eastAsia="Times New Roman" w:hAnsi="Times New Roman" w:cs="Times New Roman"/>
          <w:color w:val="000000"/>
          <w:sz w:val="24"/>
          <w:szCs w:val="24"/>
        </w:rPr>
        <w:t xml:space="preserve">.  </w:t>
      </w:r>
    </w:p>
    <w:p w:rsidR="007B118B" w:rsidRDefault="005908C0" w:rsidP="007B118B">
      <w:pPr>
        <w:pStyle w:val="ListParagraph"/>
        <w:spacing w:after="0" w:line="480" w:lineRule="auto"/>
        <w:ind w:left="0"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British </w:t>
      </w:r>
      <w:r w:rsidR="00F423BC">
        <w:rPr>
          <w:rFonts w:ascii="Times New Roman" w:eastAsia="Times New Roman" w:hAnsi="Times New Roman" w:cs="Times New Roman"/>
          <w:color w:val="000000"/>
          <w:sz w:val="24"/>
          <w:szCs w:val="24"/>
        </w:rPr>
        <w:t>colonization of India profoundly shaped</w:t>
      </w:r>
      <w:r>
        <w:rPr>
          <w:rFonts w:ascii="Times New Roman" w:eastAsia="Times New Roman" w:hAnsi="Times New Roman" w:cs="Times New Roman"/>
          <w:color w:val="000000"/>
          <w:sz w:val="24"/>
          <w:szCs w:val="24"/>
        </w:rPr>
        <w:t xml:space="preserve"> both societies </w:t>
      </w:r>
      <w:r w:rsidR="00F423BC">
        <w:rPr>
          <w:rFonts w:ascii="Times New Roman" w:eastAsia="Times New Roman" w:hAnsi="Times New Roman" w:cs="Times New Roman"/>
          <w:color w:val="000000"/>
          <w:sz w:val="24"/>
          <w:szCs w:val="24"/>
        </w:rPr>
        <w:t xml:space="preserve">economically, politically, and culturally into the nations they are today.  </w:t>
      </w:r>
      <w:r w:rsidR="000D48F1">
        <w:rPr>
          <w:rFonts w:ascii="Times New Roman" w:eastAsia="Times New Roman" w:hAnsi="Times New Roman" w:cs="Times New Roman"/>
          <w:color w:val="000000"/>
          <w:sz w:val="24"/>
          <w:szCs w:val="24"/>
        </w:rPr>
        <w:t xml:space="preserve">Of course, imperialism more often than not benefitted only the British and wronged the Indians; however, it is undeniable that each </w:t>
      </w:r>
      <w:r w:rsidR="00AA46DB">
        <w:rPr>
          <w:rFonts w:ascii="Times New Roman" w:eastAsia="Times New Roman" w:hAnsi="Times New Roman" w:cs="Times New Roman"/>
          <w:color w:val="000000"/>
          <w:sz w:val="24"/>
          <w:szCs w:val="24"/>
        </w:rPr>
        <w:t xml:space="preserve">society </w:t>
      </w:r>
      <w:r w:rsidR="000D48F1">
        <w:rPr>
          <w:rFonts w:ascii="Times New Roman" w:eastAsia="Times New Roman" w:hAnsi="Times New Roman" w:cs="Times New Roman"/>
          <w:color w:val="000000"/>
          <w:sz w:val="24"/>
          <w:szCs w:val="24"/>
        </w:rPr>
        <w:t xml:space="preserve">left their mark on the other.  </w:t>
      </w:r>
      <w:r w:rsidR="00A27C2D">
        <w:rPr>
          <w:rFonts w:ascii="Times New Roman" w:eastAsia="Times New Roman" w:hAnsi="Times New Roman" w:cs="Times New Roman"/>
          <w:color w:val="000000"/>
          <w:sz w:val="24"/>
          <w:szCs w:val="24"/>
        </w:rPr>
        <w:t>T</w:t>
      </w:r>
      <w:r w:rsidR="00F423BC">
        <w:rPr>
          <w:rFonts w:ascii="Times New Roman" w:eastAsia="Times New Roman" w:hAnsi="Times New Roman" w:cs="Times New Roman"/>
          <w:color w:val="000000"/>
          <w:sz w:val="24"/>
          <w:szCs w:val="24"/>
        </w:rPr>
        <w:t xml:space="preserve">heir shared </w:t>
      </w:r>
      <w:r w:rsidR="000D48F1">
        <w:rPr>
          <w:rFonts w:ascii="Times New Roman" w:eastAsia="Times New Roman" w:hAnsi="Times New Roman" w:cs="Times New Roman"/>
          <w:color w:val="000000"/>
          <w:sz w:val="24"/>
          <w:szCs w:val="24"/>
        </w:rPr>
        <w:t>history</w:t>
      </w:r>
      <w:r w:rsidR="00F423BC">
        <w:rPr>
          <w:rFonts w:ascii="Times New Roman" w:eastAsia="Times New Roman" w:hAnsi="Times New Roman" w:cs="Times New Roman"/>
          <w:color w:val="000000"/>
          <w:sz w:val="24"/>
          <w:szCs w:val="24"/>
        </w:rPr>
        <w:t xml:space="preserve"> </w:t>
      </w:r>
      <w:r w:rsidR="000D48F1">
        <w:rPr>
          <w:rFonts w:ascii="Times New Roman" w:eastAsia="Times New Roman" w:hAnsi="Times New Roman" w:cs="Times New Roman"/>
          <w:color w:val="000000"/>
          <w:sz w:val="24"/>
          <w:szCs w:val="24"/>
        </w:rPr>
        <w:t>and relationship i</w:t>
      </w:r>
      <w:r w:rsidR="00F423BC">
        <w:rPr>
          <w:rFonts w:ascii="Times New Roman" w:eastAsia="Times New Roman" w:hAnsi="Times New Roman" w:cs="Times New Roman"/>
          <w:color w:val="000000"/>
          <w:sz w:val="24"/>
          <w:szCs w:val="24"/>
        </w:rPr>
        <w:t xml:space="preserve">s </w:t>
      </w:r>
      <w:r w:rsidR="00A27C2D">
        <w:rPr>
          <w:rFonts w:ascii="Times New Roman" w:eastAsia="Times New Roman" w:hAnsi="Times New Roman" w:cs="Times New Roman"/>
          <w:color w:val="000000"/>
          <w:sz w:val="24"/>
          <w:szCs w:val="24"/>
        </w:rPr>
        <w:t xml:space="preserve">indeed </w:t>
      </w:r>
      <w:r w:rsidR="00F423BC">
        <w:rPr>
          <w:rFonts w:ascii="Times New Roman" w:eastAsia="Times New Roman" w:hAnsi="Times New Roman" w:cs="Times New Roman"/>
          <w:color w:val="000000"/>
          <w:sz w:val="24"/>
          <w:szCs w:val="24"/>
        </w:rPr>
        <w:t xml:space="preserve">complicated and painful, but both countries have emerged </w:t>
      </w:r>
      <w:r w:rsidR="000D5D00">
        <w:rPr>
          <w:rFonts w:ascii="Times New Roman" w:eastAsia="Times New Roman" w:hAnsi="Times New Roman" w:cs="Times New Roman"/>
          <w:color w:val="000000"/>
          <w:sz w:val="24"/>
          <w:szCs w:val="24"/>
        </w:rPr>
        <w:t xml:space="preserve">inextricably connected.  </w:t>
      </w:r>
    </w:p>
    <w:p w:rsidR="007B118B" w:rsidRPr="007B118B" w:rsidRDefault="007B118B" w:rsidP="007B118B">
      <w:pPr>
        <w:rPr>
          <w:rFonts w:ascii="Times New Roman" w:eastAsia="Times New Roman" w:hAnsi="Times New Roman" w:cs="Times New Roman"/>
          <w:color w:val="000000"/>
          <w:sz w:val="24"/>
          <w:szCs w:val="24"/>
        </w:rPr>
      </w:pPr>
    </w:p>
    <w:p w:rsidR="007B118B" w:rsidRDefault="007B118B">
      <w:pPr>
        <w:rPr>
          <w:color w:val="000000"/>
        </w:rPr>
        <w:sectPr w:rsidR="007B118B" w:rsidSect="008B3DF1">
          <w:footerReference w:type="default" r:id="rId9"/>
          <w:pgSz w:w="12240" w:h="15840"/>
          <w:pgMar w:top="1440" w:right="1440" w:bottom="1440" w:left="1440" w:header="720" w:footer="720" w:gutter="0"/>
          <w:pgNumType w:start="1"/>
          <w:cols w:space="720"/>
          <w:titlePg/>
          <w:docGrid w:linePitch="360"/>
        </w:sectPr>
      </w:pPr>
    </w:p>
    <w:p w:rsidR="007B118B" w:rsidRPr="009F4C3C" w:rsidRDefault="007B118B" w:rsidP="009F4C3C">
      <w:pPr>
        <w:pStyle w:val="NormalWeb"/>
        <w:spacing w:before="0" w:beforeAutospacing="0" w:after="0" w:afterAutospacing="0"/>
        <w:jc w:val="center"/>
        <w:rPr>
          <w:color w:val="000000"/>
        </w:rPr>
      </w:pPr>
      <w:r>
        <w:rPr>
          <w:color w:val="000000"/>
        </w:rPr>
        <w:lastRenderedPageBreak/>
        <w:t>Annotated Bibliography</w:t>
      </w:r>
    </w:p>
    <w:p w:rsidR="007B118B" w:rsidRDefault="007B118B" w:rsidP="007B118B">
      <w:pPr>
        <w:pStyle w:val="NormalWeb"/>
        <w:spacing w:before="0" w:beforeAutospacing="0" w:after="0" w:afterAutospacing="0"/>
        <w:rPr>
          <w:color w:val="000000"/>
          <w:u w:val="single"/>
        </w:rPr>
      </w:pPr>
    </w:p>
    <w:p w:rsidR="00D94946" w:rsidRDefault="00D94946" w:rsidP="007B118B">
      <w:pPr>
        <w:pStyle w:val="NormalWeb"/>
        <w:spacing w:before="0" w:beforeAutospacing="0" w:after="0" w:afterAutospacing="0"/>
        <w:rPr>
          <w:color w:val="000000"/>
          <w:u w:val="single"/>
        </w:rPr>
      </w:pPr>
    </w:p>
    <w:p w:rsidR="007B118B" w:rsidRDefault="007B118B" w:rsidP="007B118B">
      <w:pPr>
        <w:pStyle w:val="NormalWeb"/>
        <w:spacing w:before="0" w:beforeAutospacing="0" w:after="0" w:afterAutospacing="0"/>
        <w:rPr>
          <w:color w:val="000000"/>
          <w:u w:val="single"/>
        </w:rPr>
      </w:pPr>
      <w:r>
        <w:rPr>
          <w:color w:val="000000"/>
          <w:u w:val="single"/>
        </w:rPr>
        <w:t>Primary Sources</w:t>
      </w:r>
    </w:p>
    <w:p w:rsidR="007B118B" w:rsidRDefault="007B118B" w:rsidP="007B118B">
      <w:pPr>
        <w:pStyle w:val="NormalWeb"/>
        <w:spacing w:before="0" w:beforeAutospacing="0" w:after="0" w:afterAutospacing="0"/>
      </w:pPr>
    </w:p>
    <w:p w:rsidR="00D94946" w:rsidRDefault="00D94946" w:rsidP="007B118B">
      <w:pPr>
        <w:pStyle w:val="NormalWeb"/>
        <w:spacing w:before="0" w:beforeAutospacing="0" w:after="0" w:afterAutospacing="0"/>
      </w:pPr>
    </w:p>
    <w:p w:rsidR="007B118B" w:rsidRDefault="007B118B" w:rsidP="007B118B">
      <w:pPr>
        <w:pStyle w:val="NormalWeb"/>
        <w:spacing w:before="0" w:beforeAutospacing="0" w:after="0" w:afterAutospacing="0"/>
      </w:pPr>
      <w:r>
        <w:rPr>
          <w:color w:val="000000"/>
        </w:rPr>
        <w:t xml:space="preserve">Bartholomew, J. G. and </w:t>
      </w:r>
      <w:proofErr w:type="gramStart"/>
      <w:r>
        <w:rPr>
          <w:color w:val="000000"/>
        </w:rPr>
        <w:t>The</w:t>
      </w:r>
      <w:proofErr w:type="gramEnd"/>
      <w:r>
        <w:rPr>
          <w:color w:val="000000"/>
        </w:rPr>
        <w:t xml:space="preserve"> Edinburgh Geographical Institute.  </w:t>
      </w:r>
      <w:r>
        <w:rPr>
          <w:i/>
          <w:iCs/>
          <w:color w:val="000000"/>
        </w:rPr>
        <w:t xml:space="preserve">Political Divisions of the Indian </w:t>
      </w:r>
    </w:p>
    <w:p w:rsidR="00D94946" w:rsidRPr="00D94946" w:rsidRDefault="007B118B" w:rsidP="00D94946">
      <w:pPr>
        <w:pStyle w:val="NormalWeb"/>
        <w:spacing w:before="0" w:beforeAutospacing="0" w:after="0" w:afterAutospacing="0"/>
        <w:ind w:left="720"/>
      </w:pPr>
      <w:proofErr w:type="gramStart"/>
      <w:r>
        <w:rPr>
          <w:i/>
          <w:iCs/>
          <w:color w:val="000000"/>
        </w:rPr>
        <w:t>Empire</w:t>
      </w:r>
      <w:r>
        <w:rPr>
          <w:color w:val="000000"/>
        </w:rPr>
        <w:t>.</w:t>
      </w:r>
      <w:proofErr w:type="gramEnd"/>
      <w:r>
        <w:rPr>
          <w:color w:val="000000"/>
        </w:rPr>
        <w:t xml:space="preserve">  </w:t>
      </w:r>
      <w:proofErr w:type="gramStart"/>
      <w:r>
        <w:rPr>
          <w:color w:val="000000"/>
        </w:rPr>
        <w:t>Map.</w:t>
      </w:r>
      <w:proofErr w:type="gramEnd"/>
      <w:r>
        <w:rPr>
          <w:color w:val="000000"/>
        </w:rPr>
        <w:t xml:space="preserve">  1909.  </w:t>
      </w:r>
      <w:proofErr w:type="gramStart"/>
      <w:r>
        <w:rPr>
          <w:color w:val="000000"/>
        </w:rPr>
        <w:t>In</w:t>
      </w:r>
      <w:proofErr w:type="gramEnd"/>
      <w:r>
        <w:rPr>
          <w:color w:val="000000"/>
        </w:rPr>
        <w:t xml:space="preserve"> </w:t>
      </w:r>
      <w:r>
        <w:rPr>
          <w:i/>
          <w:iCs/>
          <w:color w:val="000000"/>
        </w:rPr>
        <w:t>The Imperial Gazetteer of India</w:t>
      </w:r>
      <w:r>
        <w:rPr>
          <w:color w:val="000000"/>
        </w:rPr>
        <w:t xml:space="preserve">, Atlas 1909 ed., vol. 2.  Oxford: </w:t>
      </w:r>
      <w:proofErr w:type="spellStart"/>
      <w:r>
        <w:rPr>
          <w:color w:val="000000"/>
        </w:rPr>
        <w:t>Clareton</w:t>
      </w:r>
      <w:proofErr w:type="spellEnd"/>
      <w:r>
        <w:rPr>
          <w:color w:val="000000"/>
        </w:rPr>
        <w:t xml:space="preserve"> Press, 1908-1931, 20.  </w:t>
      </w:r>
      <w:proofErr w:type="gramStart"/>
      <w:r>
        <w:rPr>
          <w:color w:val="000000"/>
        </w:rPr>
        <w:t>Accessed December 22, 2015.</w:t>
      </w:r>
      <w:proofErr w:type="gramEnd"/>
      <w:r>
        <w:rPr>
          <w:color w:val="000000"/>
        </w:rPr>
        <w:t xml:space="preserve">  </w:t>
      </w:r>
      <w:r w:rsidRPr="00484938">
        <w:t>http://dsal.uchicago.edu/reference/gaz_atlas_1909/pager.html?object=26</w:t>
      </w:r>
      <w:r>
        <w:t>.</w:t>
      </w:r>
    </w:p>
    <w:p w:rsidR="00D94946" w:rsidRDefault="00D94946" w:rsidP="00D94946">
      <w:pPr>
        <w:pStyle w:val="NormalWeb"/>
        <w:spacing w:before="0" w:beforeAutospacing="0" w:after="0" w:afterAutospacing="0"/>
        <w:ind w:left="720"/>
        <w:rPr>
          <w:color w:val="000000"/>
        </w:rPr>
      </w:pPr>
    </w:p>
    <w:p w:rsidR="007B118B" w:rsidRDefault="007B118B" w:rsidP="00D94946">
      <w:pPr>
        <w:pStyle w:val="NormalWeb"/>
        <w:spacing w:before="0" w:beforeAutospacing="0" w:after="0" w:afterAutospacing="0"/>
        <w:ind w:left="720"/>
        <w:rPr>
          <w:color w:val="000000"/>
        </w:rPr>
      </w:pPr>
      <w:r>
        <w:rPr>
          <w:color w:val="000000"/>
        </w:rPr>
        <w:t xml:space="preserve">This 1909 map of India depicts the fragmented but widespread reach of the British Empire.  Most of the coastline is under British rule but further inland there are native Indian states that break up the continuity of British India. </w:t>
      </w:r>
    </w:p>
    <w:p w:rsidR="007B118B" w:rsidRDefault="007B118B" w:rsidP="007B118B">
      <w:pPr>
        <w:pStyle w:val="NormalWeb"/>
        <w:spacing w:before="0" w:beforeAutospacing="0" w:after="0" w:afterAutospacing="0"/>
        <w:ind w:left="720"/>
      </w:pPr>
    </w:p>
    <w:p w:rsidR="00D94946" w:rsidRDefault="00D94946" w:rsidP="007B118B">
      <w:pPr>
        <w:pStyle w:val="NormalWeb"/>
        <w:spacing w:before="0" w:beforeAutospacing="0" w:after="0" w:afterAutospacing="0"/>
        <w:ind w:left="720"/>
      </w:pPr>
    </w:p>
    <w:p w:rsidR="007B118B" w:rsidRDefault="007B118B" w:rsidP="007B118B">
      <w:pPr>
        <w:pStyle w:val="NormalWeb"/>
        <w:spacing w:before="0" w:beforeAutospacing="0" w:after="0" w:afterAutospacing="0"/>
        <w:rPr>
          <w:color w:val="000000"/>
        </w:rPr>
      </w:pPr>
      <w:proofErr w:type="spellStart"/>
      <w:r>
        <w:rPr>
          <w:color w:val="000000"/>
        </w:rPr>
        <w:t>Daniell</w:t>
      </w:r>
      <w:proofErr w:type="spellEnd"/>
      <w:r>
        <w:rPr>
          <w:color w:val="000000"/>
        </w:rPr>
        <w:t xml:space="preserve">, William. </w:t>
      </w:r>
      <w:proofErr w:type="gramStart"/>
      <w:r>
        <w:rPr>
          <w:i/>
          <w:iCs/>
          <w:color w:val="000000"/>
        </w:rPr>
        <w:t>View of East India Docks.</w:t>
      </w:r>
      <w:proofErr w:type="gramEnd"/>
      <w:r>
        <w:rPr>
          <w:color w:val="000000"/>
        </w:rPr>
        <w:t xml:space="preserve">  </w:t>
      </w:r>
      <w:proofErr w:type="gramStart"/>
      <w:r>
        <w:rPr>
          <w:color w:val="000000"/>
        </w:rPr>
        <w:t>Watercolor.</w:t>
      </w:r>
      <w:proofErr w:type="gramEnd"/>
      <w:r>
        <w:rPr>
          <w:color w:val="000000"/>
        </w:rPr>
        <w:t xml:space="preserve">  1808.  </w:t>
      </w:r>
      <w:proofErr w:type="gramStart"/>
      <w:r>
        <w:rPr>
          <w:color w:val="000000"/>
        </w:rPr>
        <w:t>In</w:t>
      </w:r>
      <w:proofErr w:type="gramEnd"/>
      <w:r>
        <w:rPr>
          <w:color w:val="000000"/>
        </w:rPr>
        <w:t xml:space="preserve"> </w:t>
      </w:r>
      <w:r>
        <w:rPr>
          <w:i/>
          <w:iCs/>
          <w:color w:val="000000"/>
        </w:rPr>
        <w:t>India Britannica.</w:t>
      </w:r>
      <w:r>
        <w:rPr>
          <w:color w:val="000000"/>
        </w:rPr>
        <w:t xml:space="preserve">  Geoffrey </w:t>
      </w:r>
    </w:p>
    <w:p w:rsidR="007B118B" w:rsidRDefault="007B118B" w:rsidP="007B118B">
      <w:pPr>
        <w:pStyle w:val="NormalWeb"/>
        <w:spacing w:before="0" w:beforeAutospacing="0" w:after="0" w:afterAutospacing="0"/>
        <w:ind w:left="720"/>
      </w:pPr>
      <w:proofErr w:type="spellStart"/>
      <w:proofErr w:type="gramStart"/>
      <w:r>
        <w:rPr>
          <w:color w:val="000000"/>
        </w:rPr>
        <w:t>Moorhouse</w:t>
      </w:r>
      <w:proofErr w:type="spellEnd"/>
      <w:r>
        <w:rPr>
          <w:color w:val="000000"/>
        </w:rPr>
        <w:t>.</w:t>
      </w:r>
      <w:proofErr w:type="gramEnd"/>
      <w:r>
        <w:rPr>
          <w:color w:val="000000"/>
        </w:rPr>
        <w:t xml:space="preserve">  New York:  Harper &amp; Row, 1983.  </w:t>
      </w:r>
    </w:p>
    <w:p w:rsidR="00D94946" w:rsidRDefault="00D94946" w:rsidP="009F4C3C">
      <w:pPr>
        <w:pStyle w:val="NormalWeb"/>
        <w:spacing w:before="0" w:beforeAutospacing="0" w:after="0" w:afterAutospacing="0"/>
        <w:ind w:left="720"/>
        <w:rPr>
          <w:color w:val="000000"/>
        </w:rPr>
      </w:pPr>
    </w:p>
    <w:p w:rsidR="007B118B" w:rsidRDefault="007B118B" w:rsidP="009F4C3C">
      <w:pPr>
        <w:pStyle w:val="NormalWeb"/>
        <w:spacing w:before="0" w:beforeAutospacing="0" w:after="0" w:afterAutospacing="0"/>
        <w:ind w:left="720"/>
        <w:rPr>
          <w:color w:val="000000"/>
        </w:rPr>
      </w:pPr>
      <w:r>
        <w:rPr>
          <w:color w:val="000000"/>
        </w:rPr>
        <w:t>The watercolor painting shows the expanse of the British East India Company’s docks on the Thames near London.  There are merchant ships up and down the river as far as the eye can see, all presumably laden with the merchandise of Europe and India.  This depicts the British’s thriving trade interests in India in the seventeenth and eighteenth centuries.</w:t>
      </w:r>
    </w:p>
    <w:p w:rsidR="009F4C3C" w:rsidRDefault="009F4C3C" w:rsidP="009F4C3C">
      <w:pPr>
        <w:pStyle w:val="NormalWeb"/>
        <w:spacing w:before="0" w:beforeAutospacing="0" w:after="0" w:afterAutospacing="0"/>
        <w:ind w:left="720"/>
      </w:pPr>
    </w:p>
    <w:p w:rsidR="00D94946" w:rsidRDefault="00D94946" w:rsidP="009F4C3C">
      <w:pPr>
        <w:pStyle w:val="NormalWeb"/>
        <w:spacing w:before="0" w:beforeAutospacing="0" w:after="0" w:afterAutospacing="0"/>
        <w:ind w:left="720"/>
      </w:pPr>
    </w:p>
    <w:p w:rsidR="007B118B" w:rsidRDefault="007B118B" w:rsidP="007B118B">
      <w:pPr>
        <w:pStyle w:val="NormalWeb"/>
        <w:spacing w:before="0" w:beforeAutospacing="0" w:after="0" w:afterAutospacing="0"/>
      </w:pPr>
      <w:proofErr w:type="gramStart"/>
      <w:r>
        <w:rPr>
          <w:i/>
          <w:iCs/>
          <w:color w:val="000000"/>
        </w:rPr>
        <w:t xml:space="preserve">A European Gentleman with his </w:t>
      </w:r>
      <w:proofErr w:type="spellStart"/>
      <w:r>
        <w:rPr>
          <w:i/>
          <w:iCs/>
          <w:color w:val="000000"/>
        </w:rPr>
        <w:t>Munshi</w:t>
      </w:r>
      <w:proofErr w:type="spellEnd"/>
      <w:r>
        <w:rPr>
          <w:i/>
          <w:iCs/>
          <w:color w:val="000000"/>
        </w:rPr>
        <w:t xml:space="preserve"> or Native Professor of Languages.</w:t>
      </w:r>
      <w:proofErr w:type="gramEnd"/>
      <w:r>
        <w:rPr>
          <w:color w:val="000000"/>
        </w:rPr>
        <w:t xml:space="preserve">  </w:t>
      </w:r>
      <w:proofErr w:type="gramStart"/>
      <w:r>
        <w:rPr>
          <w:color w:val="000000"/>
        </w:rPr>
        <w:t>Illustration.</w:t>
      </w:r>
      <w:proofErr w:type="gramEnd"/>
      <w:r>
        <w:rPr>
          <w:color w:val="000000"/>
        </w:rPr>
        <w:t xml:space="preserve">  1813.  </w:t>
      </w:r>
    </w:p>
    <w:p w:rsidR="007B118B" w:rsidRDefault="007B118B" w:rsidP="007B118B">
      <w:pPr>
        <w:pStyle w:val="NormalWeb"/>
        <w:spacing w:before="0" w:beforeAutospacing="0" w:after="0" w:afterAutospacing="0"/>
        <w:ind w:left="720"/>
      </w:pPr>
      <w:proofErr w:type="gramStart"/>
      <w:r>
        <w:rPr>
          <w:color w:val="000000"/>
        </w:rPr>
        <w:t xml:space="preserve">In </w:t>
      </w:r>
      <w:r>
        <w:rPr>
          <w:i/>
          <w:iCs/>
          <w:color w:val="000000"/>
        </w:rPr>
        <w:t>India Britannica</w:t>
      </w:r>
      <w:r>
        <w:rPr>
          <w:color w:val="000000"/>
        </w:rPr>
        <w:t>.</w:t>
      </w:r>
      <w:proofErr w:type="gramEnd"/>
      <w:r>
        <w:rPr>
          <w:color w:val="000000"/>
        </w:rPr>
        <w:t xml:space="preserve">  Geoffrey </w:t>
      </w:r>
      <w:proofErr w:type="spellStart"/>
      <w:r>
        <w:rPr>
          <w:color w:val="000000"/>
        </w:rPr>
        <w:t>Moorhouse</w:t>
      </w:r>
      <w:proofErr w:type="spellEnd"/>
      <w:r>
        <w:rPr>
          <w:color w:val="000000"/>
        </w:rPr>
        <w:t>.  New York:  Harper &amp; Row, 1983.</w:t>
      </w:r>
    </w:p>
    <w:p w:rsidR="00D94946" w:rsidRDefault="00D94946" w:rsidP="009F4C3C">
      <w:pPr>
        <w:pStyle w:val="NormalWeb"/>
        <w:spacing w:before="0" w:beforeAutospacing="0" w:after="0" w:afterAutospacing="0"/>
        <w:ind w:left="720"/>
        <w:rPr>
          <w:color w:val="000000"/>
        </w:rPr>
      </w:pPr>
    </w:p>
    <w:p w:rsidR="007B118B" w:rsidRDefault="00D94946" w:rsidP="009F4C3C">
      <w:pPr>
        <w:pStyle w:val="NormalWeb"/>
        <w:spacing w:before="0" w:beforeAutospacing="0" w:after="0" w:afterAutospacing="0"/>
        <w:ind w:left="720"/>
        <w:rPr>
          <w:color w:val="000000"/>
        </w:rPr>
      </w:pPr>
      <w:r>
        <w:rPr>
          <w:color w:val="000000"/>
        </w:rPr>
        <w:t>This</w:t>
      </w:r>
      <w:r w:rsidR="007B118B">
        <w:rPr>
          <w:color w:val="000000"/>
        </w:rPr>
        <w:t xml:space="preserve"> illustration depicts a young British man being taught the native Indian language by an old Indian man.  It delineates the cross-cultural interaction between Britain and India as bilingual people became more and more common.</w:t>
      </w:r>
    </w:p>
    <w:p w:rsidR="009F4C3C" w:rsidRDefault="009F4C3C" w:rsidP="009F4C3C">
      <w:pPr>
        <w:pStyle w:val="NormalWeb"/>
        <w:spacing w:before="0" w:beforeAutospacing="0" w:after="0" w:afterAutospacing="0"/>
        <w:ind w:left="720"/>
      </w:pPr>
    </w:p>
    <w:p w:rsidR="00D94946" w:rsidRDefault="00D94946" w:rsidP="009F4C3C">
      <w:pPr>
        <w:pStyle w:val="NormalWeb"/>
        <w:spacing w:before="0" w:beforeAutospacing="0" w:after="0" w:afterAutospacing="0"/>
        <w:ind w:left="720"/>
      </w:pPr>
    </w:p>
    <w:p w:rsidR="007B118B" w:rsidRDefault="007B118B" w:rsidP="007B118B">
      <w:pPr>
        <w:pStyle w:val="NormalWeb"/>
        <w:spacing w:before="0" w:beforeAutospacing="0" w:after="0" w:afterAutospacing="0"/>
      </w:pPr>
      <w:proofErr w:type="spellStart"/>
      <w:proofErr w:type="gramStart"/>
      <w:r>
        <w:rPr>
          <w:color w:val="000000"/>
        </w:rPr>
        <w:t>Holford</w:t>
      </w:r>
      <w:proofErr w:type="spellEnd"/>
      <w:r>
        <w:rPr>
          <w:color w:val="000000"/>
        </w:rPr>
        <w:t>, Michael, photographer.</w:t>
      </w:r>
      <w:proofErr w:type="gramEnd"/>
      <w:r>
        <w:rPr>
          <w:color w:val="000000"/>
        </w:rPr>
        <w:t xml:space="preserve">  </w:t>
      </w:r>
      <w:proofErr w:type="gramStart"/>
      <w:r>
        <w:rPr>
          <w:color w:val="000000"/>
        </w:rPr>
        <w:t>“18th-century European dress.”</w:t>
      </w:r>
      <w:proofErr w:type="gramEnd"/>
      <w:r>
        <w:rPr>
          <w:color w:val="000000"/>
        </w:rPr>
        <w:t xml:space="preserve">  Photograph.  Essex: </w:t>
      </w:r>
    </w:p>
    <w:p w:rsidR="007B118B" w:rsidRDefault="007B118B" w:rsidP="007B118B">
      <w:pPr>
        <w:pStyle w:val="NormalWeb"/>
        <w:spacing w:before="0" w:beforeAutospacing="0" w:after="0" w:afterAutospacing="0"/>
        <w:ind w:left="720"/>
      </w:pPr>
      <w:proofErr w:type="gramStart"/>
      <w:r>
        <w:rPr>
          <w:color w:val="000000"/>
        </w:rPr>
        <w:t>Loughton.</w:t>
      </w:r>
      <w:proofErr w:type="gramEnd"/>
      <w:r>
        <w:rPr>
          <w:color w:val="000000"/>
        </w:rPr>
        <w:t xml:space="preserve">  In </w:t>
      </w:r>
      <w:r>
        <w:rPr>
          <w:i/>
          <w:iCs/>
          <w:color w:val="000000"/>
        </w:rPr>
        <w:t>What Life Was Like In the Jewel In the Crown: British India, AD 1600-1905.</w:t>
      </w:r>
      <w:r>
        <w:rPr>
          <w:color w:val="000000"/>
        </w:rPr>
        <w:t xml:space="preserve">  Denise </w:t>
      </w:r>
      <w:proofErr w:type="spellStart"/>
      <w:r>
        <w:rPr>
          <w:color w:val="000000"/>
        </w:rPr>
        <w:t>Dersin</w:t>
      </w:r>
      <w:proofErr w:type="spellEnd"/>
      <w:r>
        <w:rPr>
          <w:color w:val="000000"/>
        </w:rPr>
        <w:t xml:space="preserve">, </w:t>
      </w:r>
      <w:proofErr w:type="gramStart"/>
      <w:r>
        <w:rPr>
          <w:color w:val="000000"/>
        </w:rPr>
        <w:t>ed</w:t>
      </w:r>
      <w:proofErr w:type="gramEnd"/>
      <w:r>
        <w:rPr>
          <w:color w:val="000000"/>
        </w:rPr>
        <w:t>.  Richmond: Time Life Inc., 1999.</w:t>
      </w:r>
    </w:p>
    <w:p w:rsidR="00D94946" w:rsidRDefault="00D94946" w:rsidP="009F4C3C">
      <w:pPr>
        <w:pStyle w:val="NormalWeb"/>
        <w:spacing w:before="0" w:beforeAutospacing="0" w:after="0" w:afterAutospacing="0"/>
        <w:ind w:left="720"/>
        <w:rPr>
          <w:color w:val="000000"/>
        </w:rPr>
      </w:pPr>
    </w:p>
    <w:p w:rsidR="007B118B" w:rsidRDefault="007B118B" w:rsidP="009F4C3C">
      <w:pPr>
        <w:pStyle w:val="NormalWeb"/>
        <w:spacing w:before="0" w:beforeAutospacing="0" w:after="0" w:afterAutospacing="0"/>
        <w:ind w:left="720"/>
        <w:rPr>
          <w:color w:val="000000"/>
        </w:rPr>
      </w:pPr>
      <w:r>
        <w:rPr>
          <w:color w:val="000000"/>
        </w:rPr>
        <w:t>The picture of an 18th-century European dress shows the fine craftsmanship of Indian textiles.  The high quality fabric and the brightly dyed floral patterns hint at the size and prosperity of the textile industry in India in order to supply the demand of European women.</w:t>
      </w:r>
    </w:p>
    <w:p w:rsidR="009F4C3C" w:rsidRDefault="009F4C3C" w:rsidP="009F4C3C">
      <w:pPr>
        <w:pStyle w:val="NormalWeb"/>
        <w:spacing w:before="0" w:beforeAutospacing="0" w:after="0" w:afterAutospacing="0"/>
        <w:ind w:left="720"/>
      </w:pPr>
    </w:p>
    <w:p w:rsidR="00D94946" w:rsidRDefault="00D94946" w:rsidP="009F4C3C">
      <w:pPr>
        <w:pStyle w:val="NormalWeb"/>
        <w:spacing w:before="0" w:beforeAutospacing="0" w:after="0" w:afterAutospacing="0"/>
        <w:ind w:left="720"/>
      </w:pPr>
    </w:p>
    <w:p w:rsidR="00284253" w:rsidRDefault="00284253" w:rsidP="007B118B">
      <w:pPr>
        <w:pStyle w:val="NormalWeb"/>
        <w:spacing w:before="0" w:beforeAutospacing="0" w:after="0" w:afterAutospacing="0"/>
        <w:rPr>
          <w:color w:val="000000"/>
        </w:rPr>
      </w:pPr>
    </w:p>
    <w:p w:rsidR="00284253" w:rsidRDefault="00284253" w:rsidP="007B118B">
      <w:pPr>
        <w:pStyle w:val="NormalWeb"/>
        <w:spacing w:before="0" w:beforeAutospacing="0" w:after="0" w:afterAutospacing="0"/>
        <w:rPr>
          <w:color w:val="000000"/>
        </w:rPr>
      </w:pPr>
    </w:p>
    <w:p w:rsidR="007B118B" w:rsidRDefault="007B118B" w:rsidP="007B118B">
      <w:pPr>
        <w:pStyle w:val="NormalWeb"/>
        <w:spacing w:before="0" w:beforeAutospacing="0" w:after="0" w:afterAutospacing="0"/>
      </w:pPr>
      <w:r>
        <w:rPr>
          <w:color w:val="000000"/>
        </w:rPr>
        <w:lastRenderedPageBreak/>
        <w:t>Kipling, Rudyard.   </w:t>
      </w:r>
      <w:proofErr w:type="gramStart"/>
      <w:r>
        <w:rPr>
          <w:color w:val="000000"/>
        </w:rPr>
        <w:t>“The White Man’s Burden.”</w:t>
      </w:r>
      <w:proofErr w:type="gramEnd"/>
      <w:r>
        <w:rPr>
          <w:color w:val="000000"/>
        </w:rPr>
        <w:t xml:space="preserve">  1899.  Accessed December 22, 2015.  </w:t>
      </w:r>
    </w:p>
    <w:p w:rsidR="007B118B" w:rsidRDefault="007B118B" w:rsidP="007B118B">
      <w:pPr>
        <w:pStyle w:val="NormalWeb"/>
        <w:spacing w:before="0" w:beforeAutospacing="0" w:after="0" w:afterAutospacing="0"/>
        <w:ind w:firstLine="720"/>
      </w:pPr>
      <w:r w:rsidRPr="00484938">
        <w:t>http://legacy.fordham.edu/halsall/mod/kipling.asp</w:t>
      </w:r>
      <w:r>
        <w:t>.</w:t>
      </w:r>
    </w:p>
    <w:p w:rsidR="00D94946" w:rsidRDefault="00D94946" w:rsidP="009F4C3C">
      <w:pPr>
        <w:pStyle w:val="NormalWeb"/>
        <w:spacing w:before="0" w:beforeAutospacing="0" w:after="0" w:afterAutospacing="0"/>
        <w:ind w:left="720"/>
        <w:rPr>
          <w:color w:val="000000"/>
        </w:rPr>
      </w:pPr>
    </w:p>
    <w:p w:rsidR="007B118B" w:rsidRDefault="007B118B" w:rsidP="009F4C3C">
      <w:pPr>
        <w:pStyle w:val="NormalWeb"/>
        <w:spacing w:before="0" w:beforeAutospacing="0" w:after="0" w:afterAutospacing="0"/>
        <w:ind w:left="720"/>
      </w:pPr>
      <w:r>
        <w:rPr>
          <w:color w:val="000000"/>
        </w:rPr>
        <w:t>Rudyard Kipling wrote this poem in response to the American takeover of the Philippines after the Spanish-American war, but the poem also reflects the influence of British imperialism.  The poem justifies colonization of undeveloped countries and the effects wrought on the indigenous peoples.  </w:t>
      </w:r>
    </w:p>
    <w:p w:rsidR="009F4C3C" w:rsidRDefault="009F4C3C" w:rsidP="009F4C3C">
      <w:pPr>
        <w:pStyle w:val="NormalWeb"/>
        <w:spacing w:before="0" w:beforeAutospacing="0" w:after="0" w:afterAutospacing="0"/>
        <w:ind w:left="720"/>
      </w:pPr>
    </w:p>
    <w:p w:rsidR="00D94946" w:rsidRPr="009F4C3C" w:rsidRDefault="00D94946" w:rsidP="009F4C3C">
      <w:pPr>
        <w:pStyle w:val="NormalWeb"/>
        <w:spacing w:before="0" w:beforeAutospacing="0" w:after="0" w:afterAutospacing="0"/>
        <w:ind w:left="720"/>
      </w:pPr>
    </w:p>
    <w:p w:rsidR="007B118B" w:rsidRDefault="007B118B" w:rsidP="007B118B">
      <w:pPr>
        <w:pStyle w:val="NormalWeb"/>
        <w:spacing w:before="0" w:beforeAutospacing="0" w:after="0" w:afterAutospacing="0"/>
      </w:pPr>
      <w:proofErr w:type="gramStart"/>
      <w:r>
        <w:rPr>
          <w:color w:val="000000"/>
        </w:rPr>
        <w:t>“Lipton’s Teas.”</w:t>
      </w:r>
      <w:proofErr w:type="gramEnd"/>
      <w:r>
        <w:rPr>
          <w:color w:val="000000"/>
        </w:rPr>
        <w:t xml:space="preserve">  </w:t>
      </w:r>
      <w:proofErr w:type="gramStart"/>
      <w:r>
        <w:rPr>
          <w:color w:val="000000"/>
        </w:rPr>
        <w:t>Newspaper advertisement.</w:t>
      </w:r>
      <w:proofErr w:type="gramEnd"/>
      <w:r>
        <w:rPr>
          <w:color w:val="000000"/>
        </w:rPr>
        <w:t xml:space="preserve">  1892.  </w:t>
      </w:r>
      <w:proofErr w:type="gramStart"/>
      <w:r>
        <w:rPr>
          <w:color w:val="000000"/>
        </w:rPr>
        <w:t>In</w:t>
      </w:r>
      <w:proofErr w:type="gramEnd"/>
      <w:r>
        <w:rPr>
          <w:color w:val="000000"/>
        </w:rPr>
        <w:t xml:space="preserve"> </w:t>
      </w:r>
      <w:r>
        <w:rPr>
          <w:i/>
          <w:iCs/>
          <w:color w:val="000000"/>
        </w:rPr>
        <w:t xml:space="preserve">The Illustrated London News. </w:t>
      </w:r>
      <w:r>
        <w:rPr>
          <w:color w:val="000000"/>
        </w:rPr>
        <w:t xml:space="preserve">London: </w:t>
      </w:r>
    </w:p>
    <w:p w:rsidR="007B118B" w:rsidRDefault="007B118B" w:rsidP="007B118B">
      <w:pPr>
        <w:pStyle w:val="NormalWeb"/>
        <w:spacing w:before="0" w:beforeAutospacing="0" w:after="0" w:afterAutospacing="0"/>
        <w:ind w:left="720"/>
      </w:pPr>
      <w:r>
        <w:rPr>
          <w:color w:val="000000"/>
        </w:rPr>
        <w:t>September 17, 1892.  </w:t>
      </w:r>
      <w:proofErr w:type="gramStart"/>
      <w:r>
        <w:rPr>
          <w:color w:val="000000"/>
        </w:rPr>
        <w:t>Accessed December 23, 2015.</w:t>
      </w:r>
      <w:proofErr w:type="gramEnd"/>
      <w:r>
        <w:rPr>
          <w:color w:val="000000"/>
        </w:rPr>
        <w:t xml:space="preserve">  </w:t>
      </w:r>
      <w:r w:rsidRPr="00484938">
        <w:t>http://www.bl.uk/learning/images/asiansinbritain/large126069.html</w:t>
      </w:r>
      <w:r>
        <w:t>.</w:t>
      </w:r>
    </w:p>
    <w:p w:rsidR="00D94946" w:rsidRDefault="00D94946" w:rsidP="009F4C3C">
      <w:pPr>
        <w:pStyle w:val="NormalWeb"/>
        <w:spacing w:before="0" w:beforeAutospacing="0" w:after="0" w:afterAutospacing="0"/>
        <w:ind w:left="720"/>
        <w:rPr>
          <w:color w:val="000000"/>
        </w:rPr>
      </w:pPr>
    </w:p>
    <w:p w:rsidR="007B118B" w:rsidRDefault="007B118B" w:rsidP="009F4C3C">
      <w:pPr>
        <w:pStyle w:val="NormalWeb"/>
        <w:spacing w:before="0" w:beforeAutospacing="0" w:after="0" w:afterAutospacing="0"/>
        <w:ind w:left="720"/>
        <w:rPr>
          <w:color w:val="000000"/>
        </w:rPr>
      </w:pPr>
      <w:proofErr w:type="gramStart"/>
      <w:r>
        <w:rPr>
          <w:color w:val="000000"/>
        </w:rPr>
        <w:t>A</w:t>
      </w:r>
      <w:proofErr w:type="gramEnd"/>
      <w:r>
        <w:rPr>
          <w:color w:val="000000"/>
        </w:rPr>
        <w:t xml:space="preserve"> 1892 advertisement for the Lipton tea company highlights the quality and price of Indian tea.  It boasts about its high sales and also lists its plantations, warehouses, and branch offices throughout Great Britain and Ireland.  This is evidence of the lucrative and expansive tea industry in British India. </w:t>
      </w:r>
    </w:p>
    <w:p w:rsidR="009F4C3C" w:rsidRDefault="009F4C3C" w:rsidP="009F4C3C">
      <w:pPr>
        <w:pStyle w:val="NormalWeb"/>
        <w:spacing w:before="0" w:beforeAutospacing="0" w:after="0" w:afterAutospacing="0"/>
        <w:ind w:left="720"/>
      </w:pPr>
    </w:p>
    <w:p w:rsidR="00D94946" w:rsidRDefault="00D94946" w:rsidP="009F4C3C">
      <w:pPr>
        <w:pStyle w:val="NormalWeb"/>
        <w:spacing w:before="0" w:beforeAutospacing="0" w:after="0" w:afterAutospacing="0"/>
        <w:ind w:left="720"/>
      </w:pPr>
    </w:p>
    <w:p w:rsidR="007B118B" w:rsidRDefault="007B118B" w:rsidP="007B118B">
      <w:pPr>
        <w:pStyle w:val="NormalWeb"/>
        <w:spacing w:before="0" w:beforeAutospacing="0" w:after="0" w:afterAutospacing="0"/>
      </w:pPr>
      <w:r>
        <w:rPr>
          <w:color w:val="000000"/>
        </w:rPr>
        <w:t xml:space="preserve">Meyer, William Stevenson, Sir, Sir Richard Burn, James Sutherland Cotton, and Sir Herbert </w:t>
      </w:r>
    </w:p>
    <w:p w:rsidR="007B118B" w:rsidRDefault="007B118B" w:rsidP="007B118B">
      <w:pPr>
        <w:pStyle w:val="NormalWeb"/>
        <w:spacing w:before="0" w:beforeAutospacing="0" w:after="0" w:afterAutospacing="0"/>
        <w:ind w:left="720"/>
      </w:pPr>
      <w:r>
        <w:rPr>
          <w:color w:val="000000"/>
        </w:rPr>
        <w:t xml:space="preserve">Hope </w:t>
      </w:r>
      <w:proofErr w:type="spellStart"/>
      <w:r>
        <w:rPr>
          <w:color w:val="000000"/>
        </w:rPr>
        <w:t>Risley</w:t>
      </w:r>
      <w:proofErr w:type="spellEnd"/>
      <w:r>
        <w:rPr>
          <w:color w:val="000000"/>
        </w:rPr>
        <w:t>.  </w:t>
      </w:r>
      <w:r>
        <w:rPr>
          <w:i/>
          <w:iCs/>
          <w:color w:val="000000"/>
        </w:rPr>
        <w:t>The Imperial Gazetteer of India</w:t>
      </w:r>
      <w:r>
        <w:rPr>
          <w:color w:val="000000"/>
        </w:rPr>
        <w:t>, New ed., 26 vols</w:t>
      </w:r>
      <w:r>
        <w:rPr>
          <w:i/>
          <w:iCs/>
          <w:color w:val="000000"/>
        </w:rPr>
        <w:t>.  </w:t>
      </w:r>
      <w:r>
        <w:rPr>
          <w:color w:val="000000"/>
        </w:rPr>
        <w:t xml:space="preserve">Oxford:  </w:t>
      </w:r>
      <w:proofErr w:type="spellStart"/>
      <w:r>
        <w:rPr>
          <w:color w:val="000000"/>
        </w:rPr>
        <w:t>Claredon</w:t>
      </w:r>
      <w:proofErr w:type="spellEnd"/>
      <w:r>
        <w:rPr>
          <w:color w:val="000000"/>
        </w:rPr>
        <w:t xml:space="preserve"> Press, 1908-1931.  </w:t>
      </w:r>
      <w:proofErr w:type="gramStart"/>
      <w:r>
        <w:rPr>
          <w:color w:val="000000"/>
        </w:rPr>
        <w:t>Accessed December 22, 2015.</w:t>
      </w:r>
      <w:proofErr w:type="gramEnd"/>
      <w:r>
        <w:rPr>
          <w:color w:val="000000"/>
        </w:rPr>
        <w:t xml:space="preserve">  </w:t>
      </w:r>
      <w:r w:rsidRPr="00484938">
        <w:t>http://dsal.uchicago.edu/reference/gazetteer/</w:t>
      </w:r>
      <w:r>
        <w:t>.</w:t>
      </w:r>
    </w:p>
    <w:p w:rsidR="00D94946" w:rsidRDefault="00D94946" w:rsidP="009F4C3C">
      <w:pPr>
        <w:pStyle w:val="NormalWeb"/>
        <w:spacing w:before="0" w:beforeAutospacing="0" w:after="0" w:afterAutospacing="0"/>
        <w:ind w:left="720"/>
        <w:rPr>
          <w:color w:val="000000"/>
        </w:rPr>
      </w:pPr>
    </w:p>
    <w:p w:rsidR="007B118B" w:rsidRDefault="007B118B" w:rsidP="009F4C3C">
      <w:pPr>
        <w:pStyle w:val="NormalWeb"/>
        <w:spacing w:before="0" w:beforeAutospacing="0" w:after="0" w:afterAutospacing="0"/>
        <w:ind w:left="720"/>
        <w:rPr>
          <w:color w:val="000000"/>
        </w:rPr>
      </w:pPr>
      <w:r>
        <w:rPr>
          <w:color w:val="000000"/>
        </w:rPr>
        <w:t>This book has 26 volumes detailing geographical, historical, economical, and political administration of India during British rule.  The third volume provided specific information and data about the Indian agricultural economy and society.</w:t>
      </w:r>
    </w:p>
    <w:p w:rsidR="009F4C3C" w:rsidRDefault="009F4C3C" w:rsidP="009F4C3C">
      <w:pPr>
        <w:pStyle w:val="NormalWeb"/>
        <w:spacing w:before="0" w:beforeAutospacing="0" w:after="0" w:afterAutospacing="0"/>
        <w:ind w:left="720"/>
      </w:pPr>
    </w:p>
    <w:p w:rsidR="00D94946" w:rsidRDefault="00D94946" w:rsidP="009F4C3C">
      <w:pPr>
        <w:pStyle w:val="NormalWeb"/>
        <w:spacing w:before="0" w:beforeAutospacing="0" w:after="0" w:afterAutospacing="0"/>
        <w:ind w:left="720"/>
      </w:pPr>
    </w:p>
    <w:p w:rsidR="007B118B" w:rsidRDefault="007B118B" w:rsidP="007B118B">
      <w:pPr>
        <w:pStyle w:val="NormalWeb"/>
        <w:spacing w:before="0" w:beforeAutospacing="0" w:after="0" w:afterAutospacing="0"/>
      </w:pPr>
      <w:r>
        <w:rPr>
          <w:color w:val="000000"/>
        </w:rPr>
        <w:t>Orwell, George.  </w:t>
      </w:r>
      <w:proofErr w:type="gramStart"/>
      <w:r>
        <w:rPr>
          <w:i/>
          <w:iCs/>
          <w:color w:val="000000"/>
        </w:rPr>
        <w:t>Shooting an Elephant</w:t>
      </w:r>
      <w:r>
        <w:rPr>
          <w:color w:val="000000"/>
        </w:rPr>
        <w:t>.</w:t>
      </w:r>
      <w:proofErr w:type="gramEnd"/>
      <w:r>
        <w:rPr>
          <w:color w:val="000000"/>
        </w:rPr>
        <w:t xml:space="preserve">  New York:  Harcourt, Brace &amp; World, Inc., 1950.  </w:t>
      </w:r>
    </w:p>
    <w:p w:rsidR="00D94946" w:rsidRDefault="00D94946" w:rsidP="009F4C3C">
      <w:pPr>
        <w:pStyle w:val="NormalWeb"/>
        <w:spacing w:before="0" w:beforeAutospacing="0" w:after="0" w:afterAutospacing="0"/>
        <w:ind w:left="720"/>
        <w:rPr>
          <w:color w:val="000000"/>
        </w:rPr>
      </w:pPr>
    </w:p>
    <w:p w:rsidR="007B118B" w:rsidRDefault="007B118B" w:rsidP="009F4C3C">
      <w:pPr>
        <w:pStyle w:val="NormalWeb"/>
        <w:spacing w:before="0" w:beforeAutospacing="0" w:after="0" w:afterAutospacing="0"/>
        <w:ind w:left="720"/>
        <w:rPr>
          <w:color w:val="000000"/>
        </w:rPr>
      </w:pPr>
      <w:r>
        <w:rPr>
          <w:color w:val="000000"/>
        </w:rPr>
        <w:t>“Shooting an Elephant” is an essay about a British police officer in Burma who shoots an aggressive elephant at the behest of resentful locals.  The story is a metaphor for British imperialism and has autobiographical elements since Orwell did work in Burma as a police officer, but whether or not it is true is disputed.</w:t>
      </w:r>
    </w:p>
    <w:p w:rsidR="009F4C3C" w:rsidRDefault="009F4C3C" w:rsidP="009F4C3C">
      <w:pPr>
        <w:pStyle w:val="NormalWeb"/>
        <w:spacing w:before="0" w:beforeAutospacing="0" w:after="0" w:afterAutospacing="0"/>
        <w:ind w:left="720"/>
      </w:pPr>
    </w:p>
    <w:p w:rsidR="00D94946" w:rsidRDefault="00D94946" w:rsidP="009F4C3C">
      <w:pPr>
        <w:pStyle w:val="NormalWeb"/>
        <w:spacing w:before="0" w:beforeAutospacing="0" w:after="0" w:afterAutospacing="0"/>
        <w:ind w:left="720"/>
      </w:pPr>
    </w:p>
    <w:p w:rsidR="007B118B" w:rsidRDefault="007B118B" w:rsidP="007B118B">
      <w:pPr>
        <w:pStyle w:val="NormalWeb"/>
        <w:spacing w:before="0" w:beforeAutospacing="0" w:after="0" w:afterAutospacing="0"/>
      </w:pPr>
      <w:proofErr w:type="spellStart"/>
      <w:r>
        <w:rPr>
          <w:color w:val="000000"/>
        </w:rPr>
        <w:t>Pethick</w:t>
      </w:r>
      <w:proofErr w:type="spellEnd"/>
      <w:r>
        <w:rPr>
          <w:color w:val="000000"/>
        </w:rPr>
        <w:t>-Lawrence, Frederick.  </w:t>
      </w:r>
      <w:proofErr w:type="gramStart"/>
      <w:r>
        <w:rPr>
          <w:color w:val="000000"/>
        </w:rPr>
        <w:t>“Indian Policy.”</w:t>
      </w:r>
      <w:proofErr w:type="gramEnd"/>
      <w:r>
        <w:rPr>
          <w:color w:val="000000"/>
        </w:rPr>
        <w:t xml:space="preserve">  Draft statement, Washington, 1947.  Accessed </w:t>
      </w:r>
    </w:p>
    <w:p w:rsidR="007B118B" w:rsidRDefault="007B118B" w:rsidP="007B118B">
      <w:pPr>
        <w:pStyle w:val="NormalWeb"/>
        <w:spacing w:before="0" w:beforeAutospacing="0" w:after="0" w:afterAutospacing="0"/>
        <w:ind w:left="720"/>
      </w:pPr>
      <w:r>
        <w:rPr>
          <w:color w:val="000000"/>
        </w:rPr>
        <w:t>December 22, 2015.  </w:t>
      </w:r>
      <w:r w:rsidRPr="00484938">
        <w:t>http://www.nationalarchives.gov.uk/education/resources/the-road-to-partition/britains-india-policy/</w:t>
      </w:r>
      <w:r>
        <w:t>.</w:t>
      </w:r>
    </w:p>
    <w:p w:rsidR="00D94946" w:rsidRDefault="00D94946" w:rsidP="009F4C3C">
      <w:pPr>
        <w:pStyle w:val="NormalWeb"/>
        <w:spacing w:before="0" w:beforeAutospacing="0" w:after="0" w:afterAutospacing="0"/>
        <w:ind w:left="720"/>
        <w:rPr>
          <w:color w:val="000000"/>
        </w:rPr>
      </w:pPr>
    </w:p>
    <w:p w:rsidR="00284253" w:rsidRPr="00284253" w:rsidRDefault="007B118B" w:rsidP="00284253">
      <w:pPr>
        <w:pStyle w:val="NormalWeb"/>
        <w:spacing w:before="0" w:beforeAutospacing="0" w:after="0" w:afterAutospacing="0"/>
        <w:ind w:left="720"/>
        <w:rPr>
          <w:color w:val="000000"/>
        </w:rPr>
      </w:pPr>
      <w:r>
        <w:rPr>
          <w:color w:val="000000"/>
        </w:rPr>
        <w:t xml:space="preserve">This document is an actual draft statement about Britain’s India policy and was written by the Secretary of State for India, Frederick </w:t>
      </w:r>
      <w:proofErr w:type="spellStart"/>
      <w:r>
        <w:rPr>
          <w:color w:val="000000"/>
        </w:rPr>
        <w:t>Pethick</w:t>
      </w:r>
      <w:proofErr w:type="spellEnd"/>
      <w:r>
        <w:rPr>
          <w:color w:val="000000"/>
        </w:rPr>
        <w:t>-Lawrence, on February 20, 1947.  It provides information about the planned transition of power from the British to the Indians, the birth of an Indian democracy</w:t>
      </w:r>
      <w:r w:rsidR="00284253">
        <w:rPr>
          <w:color w:val="000000"/>
        </w:rPr>
        <w:t>, and</w:t>
      </w:r>
      <w:r>
        <w:rPr>
          <w:color w:val="000000"/>
        </w:rPr>
        <w:t xml:space="preserve"> tense relations between different Indian parties.</w:t>
      </w:r>
    </w:p>
    <w:p w:rsidR="007B118B" w:rsidRDefault="007B118B" w:rsidP="007B118B">
      <w:pPr>
        <w:pStyle w:val="NormalWeb"/>
        <w:spacing w:before="0" w:beforeAutospacing="0" w:after="0" w:afterAutospacing="0"/>
        <w:rPr>
          <w:color w:val="000000"/>
        </w:rPr>
      </w:pPr>
      <w:proofErr w:type="gramStart"/>
      <w:r>
        <w:rPr>
          <w:color w:val="000000"/>
        </w:rPr>
        <w:lastRenderedPageBreak/>
        <w:t>Shone, Terence.</w:t>
      </w:r>
      <w:proofErr w:type="gramEnd"/>
      <w:r>
        <w:rPr>
          <w:color w:val="000000"/>
        </w:rPr>
        <w:t xml:space="preserve">  </w:t>
      </w:r>
      <w:proofErr w:type="gramStart"/>
      <w:r>
        <w:rPr>
          <w:color w:val="000000"/>
        </w:rPr>
        <w:t>Letter to the Secretary of State for Commonwealth Relations,</w:t>
      </w:r>
      <w:r>
        <w:t xml:space="preserve"> </w:t>
      </w:r>
      <w:r>
        <w:rPr>
          <w:color w:val="000000"/>
        </w:rPr>
        <w:t>1947.</w:t>
      </w:r>
      <w:proofErr w:type="gramEnd"/>
      <w:r>
        <w:rPr>
          <w:color w:val="000000"/>
        </w:rPr>
        <w:t xml:space="preserve">  Accessed </w:t>
      </w:r>
    </w:p>
    <w:p w:rsidR="007B118B" w:rsidRDefault="007B118B" w:rsidP="007B118B">
      <w:pPr>
        <w:pStyle w:val="NormalWeb"/>
        <w:spacing w:before="0" w:beforeAutospacing="0" w:after="0" w:afterAutospacing="0"/>
        <w:ind w:left="720"/>
      </w:pPr>
      <w:r>
        <w:rPr>
          <w:color w:val="000000"/>
        </w:rPr>
        <w:t>December 22, 2015.  </w:t>
      </w:r>
      <w:r w:rsidRPr="00484938">
        <w:t>http://www.nationalarchives.gov.uk/education/resources/the-road-to-partition/evaluating-partition/</w:t>
      </w:r>
      <w:r>
        <w:t>.</w:t>
      </w:r>
    </w:p>
    <w:p w:rsidR="00D94946" w:rsidRDefault="00D94946" w:rsidP="00A56498">
      <w:pPr>
        <w:pStyle w:val="NormalWeb"/>
        <w:spacing w:before="0" w:beforeAutospacing="0" w:after="0" w:afterAutospacing="0"/>
        <w:ind w:left="720"/>
        <w:rPr>
          <w:color w:val="000000"/>
        </w:rPr>
      </w:pPr>
    </w:p>
    <w:p w:rsidR="009F4C3C" w:rsidRDefault="007B118B" w:rsidP="00A56498">
      <w:pPr>
        <w:pStyle w:val="NormalWeb"/>
        <w:spacing w:before="0" w:beforeAutospacing="0" w:after="0" w:afterAutospacing="0"/>
        <w:ind w:left="720"/>
        <w:rPr>
          <w:color w:val="000000"/>
        </w:rPr>
      </w:pPr>
      <w:r>
        <w:rPr>
          <w:color w:val="000000"/>
        </w:rPr>
        <w:t>This document is a letter written by the UK High Commissioner Terence Shone on October 14, 1947 to the Secretary of State for Commonwealth Relations, Philip Noel-Baker.  It reveals the discord between Hindus, Muslims, and Sikhs in the aftermath of the partition of India into two separate states, India and Pakistan.</w:t>
      </w:r>
    </w:p>
    <w:p w:rsidR="00A56498" w:rsidRDefault="00A56498" w:rsidP="007B118B">
      <w:pPr>
        <w:pStyle w:val="NormalWeb"/>
        <w:spacing w:before="0" w:beforeAutospacing="0" w:after="0" w:afterAutospacing="0" w:line="480" w:lineRule="auto"/>
        <w:rPr>
          <w:color w:val="000000"/>
          <w:u w:val="single"/>
        </w:rPr>
      </w:pPr>
    </w:p>
    <w:p w:rsidR="00D94946" w:rsidRPr="00284253" w:rsidRDefault="007B118B" w:rsidP="00284253">
      <w:pPr>
        <w:pStyle w:val="NormalWeb"/>
        <w:spacing w:before="0" w:beforeAutospacing="0" w:after="0" w:afterAutospacing="0" w:line="480" w:lineRule="auto"/>
        <w:rPr>
          <w:color w:val="000000"/>
          <w:u w:val="single"/>
        </w:rPr>
      </w:pPr>
      <w:r>
        <w:rPr>
          <w:color w:val="000000"/>
          <w:u w:val="single"/>
        </w:rPr>
        <w:t>Secondary Sources</w:t>
      </w:r>
    </w:p>
    <w:p w:rsidR="00284253" w:rsidRDefault="00284253" w:rsidP="00284253">
      <w:pPr>
        <w:pStyle w:val="NoSpacing"/>
      </w:pPr>
    </w:p>
    <w:p w:rsidR="007B118B" w:rsidRDefault="007B118B" w:rsidP="007B118B">
      <w:pPr>
        <w:pStyle w:val="NormalWeb"/>
        <w:spacing w:before="0" w:beforeAutospacing="0" w:after="0" w:afterAutospacing="0"/>
        <w:rPr>
          <w:i/>
          <w:color w:val="000000"/>
        </w:rPr>
      </w:pPr>
      <w:proofErr w:type="gramStart"/>
      <w:r>
        <w:rPr>
          <w:color w:val="000000"/>
        </w:rPr>
        <w:t xml:space="preserve">Ali, Linda and John </w:t>
      </w:r>
      <w:proofErr w:type="spellStart"/>
      <w:r>
        <w:rPr>
          <w:color w:val="000000"/>
        </w:rPr>
        <w:t>Siblon</w:t>
      </w:r>
      <w:proofErr w:type="spellEnd"/>
      <w:r>
        <w:rPr>
          <w:color w:val="000000"/>
        </w:rPr>
        <w:t>.</w:t>
      </w:r>
      <w:proofErr w:type="gramEnd"/>
      <w:r>
        <w:rPr>
          <w:color w:val="000000"/>
        </w:rPr>
        <w:t xml:space="preserve">  </w:t>
      </w:r>
      <w:proofErr w:type="gramStart"/>
      <w:r>
        <w:rPr>
          <w:color w:val="000000"/>
        </w:rPr>
        <w:t>“Influencing Britain.”</w:t>
      </w:r>
      <w:proofErr w:type="gramEnd"/>
      <w:r>
        <w:rPr>
          <w:color w:val="000000"/>
        </w:rPr>
        <w:t xml:space="preserve">  </w:t>
      </w:r>
      <w:r>
        <w:rPr>
          <w:i/>
          <w:color w:val="000000"/>
        </w:rPr>
        <w:t xml:space="preserve">Black Presence: Asian and Black History in </w:t>
      </w:r>
    </w:p>
    <w:p w:rsidR="007B118B" w:rsidRDefault="007B118B" w:rsidP="007B118B">
      <w:pPr>
        <w:pStyle w:val="NormalWeb"/>
        <w:spacing w:before="0" w:beforeAutospacing="0" w:after="0" w:afterAutospacing="0"/>
        <w:ind w:left="720"/>
        <w:rPr>
          <w:color w:val="000000"/>
        </w:rPr>
      </w:pPr>
      <w:r>
        <w:rPr>
          <w:i/>
          <w:color w:val="000000"/>
        </w:rPr>
        <w:t>Britain.</w:t>
      </w:r>
      <w:r>
        <w:rPr>
          <w:color w:val="000000"/>
        </w:rPr>
        <w:t xml:space="preserve">  </w:t>
      </w:r>
      <w:proofErr w:type="gramStart"/>
      <w:r>
        <w:rPr>
          <w:color w:val="000000"/>
        </w:rPr>
        <w:t>Accessed January 19, 2016.</w:t>
      </w:r>
      <w:proofErr w:type="gramEnd"/>
      <w:r>
        <w:rPr>
          <w:color w:val="000000"/>
        </w:rPr>
        <w:t xml:space="preserve">  </w:t>
      </w:r>
      <w:r w:rsidRPr="00484938">
        <w:rPr>
          <w:color w:val="000000"/>
        </w:rPr>
        <w:t>http://www.nationalarchives.gov.uk/pathways/blackhistory/culture/influencing.htm</w:t>
      </w:r>
      <w:r>
        <w:rPr>
          <w:color w:val="000000"/>
        </w:rPr>
        <w:t>.</w:t>
      </w:r>
    </w:p>
    <w:p w:rsidR="00D94946" w:rsidRDefault="00D94946" w:rsidP="007B118B">
      <w:pPr>
        <w:pStyle w:val="NormalWeb"/>
        <w:spacing w:before="0" w:beforeAutospacing="0" w:after="0" w:afterAutospacing="0"/>
        <w:ind w:left="720"/>
        <w:rPr>
          <w:color w:val="000000"/>
        </w:rPr>
      </w:pPr>
    </w:p>
    <w:p w:rsidR="007B118B" w:rsidRPr="00BE011D" w:rsidRDefault="007B118B" w:rsidP="007B118B">
      <w:pPr>
        <w:pStyle w:val="NormalWeb"/>
        <w:spacing w:before="0" w:beforeAutospacing="0" w:after="0" w:afterAutospacing="0"/>
        <w:ind w:left="720"/>
        <w:rPr>
          <w:color w:val="000000"/>
        </w:rPr>
      </w:pPr>
      <w:r>
        <w:rPr>
          <w:color w:val="000000"/>
        </w:rPr>
        <w:t>This webpage provides information about cultural influences on Britain from India as well as facts about the spice and textile trade monopolized by the English East India Company.</w:t>
      </w:r>
    </w:p>
    <w:p w:rsidR="00A56498" w:rsidRDefault="00A56498" w:rsidP="007B118B">
      <w:pPr>
        <w:pStyle w:val="NormalWeb"/>
        <w:spacing w:before="0" w:beforeAutospacing="0" w:after="0" w:afterAutospacing="0"/>
        <w:rPr>
          <w:color w:val="000000"/>
        </w:rPr>
      </w:pPr>
    </w:p>
    <w:p w:rsidR="00D94946" w:rsidRDefault="00D94946" w:rsidP="007B118B">
      <w:pPr>
        <w:pStyle w:val="NormalWeb"/>
        <w:spacing w:before="0" w:beforeAutospacing="0" w:after="0" w:afterAutospacing="0"/>
        <w:rPr>
          <w:color w:val="000000"/>
        </w:rPr>
      </w:pPr>
    </w:p>
    <w:p w:rsidR="007B118B" w:rsidRDefault="007B118B" w:rsidP="007B118B">
      <w:pPr>
        <w:pStyle w:val="NormalWeb"/>
        <w:spacing w:before="0" w:beforeAutospacing="0" w:after="0" w:afterAutospacing="0"/>
      </w:pPr>
      <w:r>
        <w:rPr>
          <w:color w:val="000000"/>
        </w:rPr>
        <w:t>Dalrymple, William.  “The Great Divide: The violent legacy of Indian Partition.”  </w:t>
      </w:r>
      <w:r>
        <w:rPr>
          <w:i/>
          <w:iCs/>
          <w:color w:val="000000"/>
        </w:rPr>
        <w:t xml:space="preserve">The New </w:t>
      </w:r>
    </w:p>
    <w:p w:rsidR="007B118B" w:rsidRDefault="007B118B" w:rsidP="007B118B">
      <w:pPr>
        <w:pStyle w:val="NormalWeb"/>
        <w:spacing w:before="0" w:beforeAutospacing="0" w:after="0" w:afterAutospacing="0"/>
        <w:ind w:left="720"/>
      </w:pPr>
      <w:r>
        <w:rPr>
          <w:i/>
          <w:iCs/>
          <w:color w:val="000000"/>
        </w:rPr>
        <w:t>Yorker</w:t>
      </w:r>
      <w:r>
        <w:rPr>
          <w:color w:val="000000"/>
        </w:rPr>
        <w:t>, June 29, 2015.  </w:t>
      </w:r>
      <w:proofErr w:type="gramStart"/>
      <w:r>
        <w:rPr>
          <w:color w:val="000000"/>
        </w:rPr>
        <w:t>Accessed December 23, 2015.</w:t>
      </w:r>
      <w:proofErr w:type="gramEnd"/>
      <w:r>
        <w:rPr>
          <w:color w:val="000000"/>
        </w:rPr>
        <w:t xml:space="preserve">  </w:t>
      </w:r>
      <w:r w:rsidRPr="00484938">
        <w:t>http://www.newyorker.com/magazine/2015/06/29/the-great-divide-books-dalrymple</w:t>
      </w:r>
      <w:r>
        <w:t>.</w:t>
      </w:r>
    </w:p>
    <w:p w:rsidR="00D94946" w:rsidRDefault="00D94946" w:rsidP="009F4C3C">
      <w:pPr>
        <w:pStyle w:val="NormalWeb"/>
        <w:spacing w:before="0" w:beforeAutospacing="0" w:after="0" w:afterAutospacing="0"/>
        <w:ind w:left="720"/>
        <w:rPr>
          <w:color w:val="000000"/>
        </w:rPr>
      </w:pPr>
    </w:p>
    <w:p w:rsidR="007B118B" w:rsidRDefault="007B118B" w:rsidP="009F4C3C">
      <w:pPr>
        <w:pStyle w:val="NormalWeb"/>
        <w:spacing w:before="0" w:beforeAutospacing="0" w:after="0" w:afterAutospacing="0"/>
        <w:ind w:left="720"/>
        <w:rPr>
          <w:color w:val="000000"/>
        </w:rPr>
      </w:pPr>
      <w:r>
        <w:rPr>
          <w:color w:val="000000"/>
        </w:rPr>
        <w:t>This article examines the history and resulting religious and cultural tension from the British partition of India into Hindu India and Muslim Pakistan.  Thousands of people were displaced from their homes and the threat of violence still hangs over India-Pakistan relations.</w:t>
      </w:r>
    </w:p>
    <w:p w:rsidR="009F4C3C" w:rsidRDefault="009F4C3C" w:rsidP="009F4C3C">
      <w:pPr>
        <w:pStyle w:val="NormalWeb"/>
        <w:spacing w:before="0" w:beforeAutospacing="0" w:after="0" w:afterAutospacing="0"/>
        <w:ind w:left="720"/>
      </w:pPr>
    </w:p>
    <w:p w:rsidR="00D94946" w:rsidRDefault="00D94946" w:rsidP="009F4C3C">
      <w:pPr>
        <w:pStyle w:val="NormalWeb"/>
        <w:spacing w:before="0" w:beforeAutospacing="0" w:after="0" w:afterAutospacing="0"/>
        <w:ind w:left="720"/>
      </w:pPr>
    </w:p>
    <w:p w:rsidR="007B118B" w:rsidRDefault="007B118B" w:rsidP="007B118B">
      <w:pPr>
        <w:pStyle w:val="NormalWeb"/>
        <w:spacing w:before="0" w:beforeAutospacing="0" w:after="0" w:afterAutospacing="0"/>
      </w:pPr>
      <w:proofErr w:type="spellStart"/>
      <w:r>
        <w:rPr>
          <w:color w:val="000000"/>
        </w:rPr>
        <w:t>Darnton</w:t>
      </w:r>
      <w:proofErr w:type="spellEnd"/>
      <w:r>
        <w:rPr>
          <w:color w:val="000000"/>
        </w:rPr>
        <w:t>, Robert.  </w:t>
      </w:r>
      <w:r>
        <w:rPr>
          <w:i/>
          <w:iCs/>
          <w:color w:val="000000"/>
        </w:rPr>
        <w:t>Censors at Work: How States Shaped Literature</w:t>
      </w:r>
      <w:r>
        <w:rPr>
          <w:color w:val="000000"/>
        </w:rPr>
        <w:t xml:space="preserve">.  New York:  W.W. Norton &amp; </w:t>
      </w:r>
    </w:p>
    <w:p w:rsidR="007B118B" w:rsidRDefault="007B118B" w:rsidP="007B118B">
      <w:pPr>
        <w:pStyle w:val="NormalWeb"/>
        <w:spacing w:before="0" w:beforeAutospacing="0" w:after="0" w:afterAutospacing="0"/>
        <w:ind w:left="720"/>
      </w:pPr>
      <w:proofErr w:type="gramStart"/>
      <w:r>
        <w:rPr>
          <w:color w:val="000000"/>
        </w:rPr>
        <w:t>Company, 2014.</w:t>
      </w:r>
      <w:proofErr w:type="gramEnd"/>
    </w:p>
    <w:p w:rsidR="00D94946" w:rsidRDefault="00D94946" w:rsidP="007B118B">
      <w:pPr>
        <w:pStyle w:val="NormalWeb"/>
        <w:spacing w:before="0" w:beforeAutospacing="0" w:after="0" w:afterAutospacing="0"/>
        <w:ind w:left="720"/>
        <w:rPr>
          <w:color w:val="000000"/>
        </w:rPr>
      </w:pPr>
    </w:p>
    <w:p w:rsidR="007B118B" w:rsidRDefault="007B118B" w:rsidP="007B118B">
      <w:pPr>
        <w:pStyle w:val="NormalWeb"/>
        <w:spacing w:before="0" w:beforeAutospacing="0" w:after="0" w:afterAutospacing="0"/>
        <w:ind w:left="720"/>
        <w:rPr>
          <w:color w:val="000000"/>
        </w:rPr>
      </w:pPr>
      <w:r>
        <w:rPr>
          <w:color w:val="000000"/>
        </w:rPr>
        <w:t xml:space="preserve">This book provides information about censorship of Indian literature deemed seditious by the British Raj.  After the </w:t>
      </w:r>
      <w:proofErr w:type="spellStart"/>
      <w:r>
        <w:rPr>
          <w:color w:val="000000"/>
        </w:rPr>
        <w:t>Sepoy</w:t>
      </w:r>
      <w:proofErr w:type="spellEnd"/>
      <w:r>
        <w:rPr>
          <w:color w:val="000000"/>
        </w:rPr>
        <w:t xml:space="preserve"> uprising in 1857, the British imposed greater imperial surveillance and power, which only fueled discontent within India.</w:t>
      </w:r>
    </w:p>
    <w:p w:rsidR="007B118B" w:rsidRDefault="007B118B" w:rsidP="007B118B">
      <w:pPr>
        <w:pStyle w:val="NormalWeb"/>
        <w:spacing w:before="0" w:beforeAutospacing="0" w:after="0" w:afterAutospacing="0"/>
        <w:rPr>
          <w:color w:val="000000"/>
        </w:rPr>
      </w:pPr>
    </w:p>
    <w:p w:rsidR="00284253" w:rsidRDefault="00284253" w:rsidP="007B118B">
      <w:pPr>
        <w:pStyle w:val="NormalWeb"/>
        <w:spacing w:before="0" w:beforeAutospacing="0" w:after="0" w:afterAutospacing="0"/>
        <w:rPr>
          <w:color w:val="000000"/>
        </w:rPr>
      </w:pPr>
    </w:p>
    <w:p w:rsidR="007B118B" w:rsidRDefault="007B118B" w:rsidP="007B118B">
      <w:pPr>
        <w:pStyle w:val="NormalWeb"/>
        <w:spacing w:before="0" w:beforeAutospacing="0" w:after="0" w:afterAutospacing="0"/>
        <w:rPr>
          <w:i/>
          <w:iCs/>
          <w:color w:val="000000"/>
        </w:rPr>
      </w:pPr>
      <w:proofErr w:type="spellStart"/>
      <w:r>
        <w:rPr>
          <w:color w:val="000000"/>
        </w:rPr>
        <w:t>Dersin</w:t>
      </w:r>
      <w:proofErr w:type="spellEnd"/>
      <w:r>
        <w:rPr>
          <w:color w:val="000000"/>
        </w:rPr>
        <w:t xml:space="preserve">, Denise, </w:t>
      </w:r>
      <w:proofErr w:type="gramStart"/>
      <w:r>
        <w:rPr>
          <w:color w:val="000000"/>
        </w:rPr>
        <w:t>ed</w:t>
      </w:r>
      <w:proofErr w:type="gramEnd"/>
      <w:r>
        <w:rPr>
          <w:color w:val="000000"/>
        </w:rPr>
        <w:t>.  </w:t>
      </w:r>
      <w:r>
        <w:rPr>
          <w:i/>
          <w:iCs/>
          <w:color w:val="000000"/>
        </w:rPr>
        <w:t xml:space="preserve">What Life Was Like In the Jewel </w:t>
      </w:r>
      <w:proofErr w:type="gramStart"/>
      <w:r>
        <w:rPr>
          <w:i/>
          <w:iCs/>
          <w:color w:val="000000"/>
        </w:rPr>
        <w:t>In</w:t>
      </w:r>
      <w:proofErr w:type="gramEnd"/>
      <w:r>
        <w:rPr>
          <w:i/>
          <w:iCs/>
          <w:color w:val="000000"/>
        </w:rPr>
        <w:t xml:space="preserve"> the Crown: British India, AD 1600-</w:t>
      </w:r>
    </w:p>
    <w:p w:rsidR="007B118B" w:rsidRDefault="007B118B" w:rsidP="007B118B">
      <w:pPr>
        <w:pStyle w:val="NormalWeb"/>
        <w:spacing w:before="0" w:beforeAutospacing="0" w:after="0" w:afterAutospacing="0"/>
        <w:ind w:left="720"/>
        <w:rPr>
          <w:color w:val="000000"/>
        </w:rPr>
      </w:pPr>
      <w:r>
        <w:rPr>
          <w:i/>
          <w:iCs/>
          <w:color w:val="000000"/>
        </w:rPr>
        <w:t>1905.</w:t>
      </w:r>
      <w:r>
        <w:rPr>
          <w:color w:val="000000"/>
        </w:rPr>
        <w:t xml:space="preserve">  Richmond:  Time Life Inc., 1999.</w:t>
      </w:r>
    </w:p>
    <w:p w:rsidR="00D94946" w:rsidRDefault="00D94946" w:rsidP="007B118B">
      <w:pPr>
        <w:pStyle w:val="NormalWeb"/>
        <w:spacing w:before="0" w:beforeAutospacing="0" w:after="0" w:afterAutospacing="0"/>
        <w:ind w:left="720"/>
        <w:rPr>
          <w:iCs/>
          <w:color w:val="000000"/>
        </w:rPr>
      </w:pPr>
    </w:p>
    <w:p w:rsidR="00D94946" w:rsidRPr="00284253" w:rsidRDefault="007B118B" w:rsidP="00284253">
      <w:pPr>
        <w:pStyle w:val="NormalWeb"/>
        <w:spacing w:before="0" w:beforeAutospacing="0" w:after="0" w:afterAutospacing="0"/>
        <w:ind w:left="720"/>
      </w:pPr>
      <w:r>
        <w:rPr>
          <w:iCs/>
          <w:color w:val="000000"/>
        </w:rPr>
        <w:t>This book provides information about society and culture in British India, especially details about the textile industry in India.</w:t>
      </w:r>
    </w:p>
    <w:p w:rsidR="007B118B" w:rsidRDefault="007B118B" w:rsidP="007B118B">
      <w:pPr>
        <w:pStyle w:val="NormalWeb"/>
        <w:spacing w:before="0" w:beforeAutospacing="0" w:after="0" w:afterAutospacing="0"/>
        <w:rPr>
          <w:color w:val="000000"/>
        </w:rPr>
      </w:pPr>
      <w:r>
        <w:rPr>
          <w:color w:val="000000"/>
        </w:rPr>
        <w:lastRenderedPageBreak/>
        <w:t xml:space="preserve">Fremont-Barnes, Gregory.  </w:t>
      </w:r>
      <w:r>
        <w:rPr>
          <w:i/>
          <w:color w:val="000000"/>
        </w:rPr>
        <w:t>Essential Histories: The Indian Mutiny 1857-58.</w:t>
      </w:r>
      <w:r>
        <w:rPr>
          <w:color w:val="000000"/>
        </w:rPr>
        <w:t xml:space="preserve">  Oxford:  Osprey </w:t>
      </w:r>
    </w:p>
    <w:p w:rsidR="007B118B" w:rsidRDefault="007B118B" w:rsidP="007B118B">
      <w:pPr>
        <w:pStyle w:val="NormalWeb"/>
        <w:spacing w:before="0" w:beforeAutospacing="0" w:after="0" w:afterAutospacing="0"/>
        <w:ind w:left="720"/>
        <w:rPr>
          <w:color w:val="000000"/>
        </w:rPr>
      </w:pPr>
      <w:proofErr w:type="gramStart"/>
      <w:r>
        <w:rPr>
          <w:color w:val="000000"/>
        </w:rPr>
        <w:t>Publishing Ltd., 2007.</w:t>
      </w:r>
      <w:proofErr w:type="gramEnd"/>
    </w:p>
    <w:p w:rsidR="00D94946" w:rsidRDefault="00D94946" w:rsidP="009F4C3C">
      <w:pPr>
        <w:pStyle w:val="NormalWeb"/>
        <w:spacing w:before="0" w:beforeAutospacing="0" w:after="0" w:afterAutospacing="0"/>
        <w:ind w:left="720"/>
        <w:rPr>
          <w:color w:val="000000"/>
        </w:rPr>
      </w:pPr>
    </w:p>
    <w:p w:rsidR="007B118B" w:rsidRDefault="007B118B" w:rsidP="009F4C3C">
      <w:pPr>
        <w:pStyle w:val="NormalWeb"/>
        <w:spacing w:before="0" w:beforeAutospacing="0" w:after="0" w:afterAutospacing="0"/>
        <w:ind w:left="720"/>
        <w:rPr>
          <w:color w:val="000000"/>
        </w:rPr>
      </w:pPr>
      <w:r>
        <w:rPr>
          <w:color w:val="000000"/>
        </w:rPr>
        <w:t xml:space="preserve">This book recounts the brief but violent </w:t>
      </w:r>
      <w:proofErr w:type="spellStart"/>
      <w:r>
        <w:rPr>
          <w:color w:val="000000"/>
        </w:rPr>
        <w:t>Sepoy</w:t>
      </w:r>
      <w:proofErr w:type="spellEnd"/>
      <w:r>
        <w:rPr>
          <w:color w:val="000000"/>
        </w:rPr>
        <w:t xml:space="preserve"> rebellion in India against the British East India Company.  It also provided background information about the events leading up to the rebellion and the early history of British rule in India.</w:t>
      </w:r>
    </w:p>
    <w:p w:rsidR="009F4C3C" w:rsidRDefault="009F4C3C" w:rsidP="009F4C3C">
      <w:pPr>
        <w:pStyle w:val="NormalWeb"/>
        <w:spacing w:before="0" w:beforeAutospacing="0" w:after="0" w:afterAutospacing="0"/>
        <w:ind w:left="720"/>
      </w:pPr>
    </w:p>
    <w:p w:rsidR="00D94946" w:rsidRDefault="00D94946" w:rsidP="009F4C3C">
      <w:pPr>
        <w:pStyle w:val="NormalWeb"/>
        <w:spacing w:before="0" w:beforeAutospacing="0" w:after="0" w:afterAutospacing="0"/>
        <w:ind w:left="720"/>
      </w:pPr>
    </w:p>
    <w:p w:rsidR="007B118B" w:rsidRDefault="007B118B" w:rsidP="007B118B">
      <w:pPr>
        <w:pStyle w:val="NormalWeb"/>
        <w:spacing w:before="0" w:beforeAutospacing="0" w:after="0" w:afterAutospacing="0"/>
      </w:pPr>
      <w:r>
        <w:rPr>
          <w:color w:val="000000"/>
        </w:rPr>
        <w:t>Gilmour, David.  </w:t>
      </w:r>
      <w:r>
        <w:rPr>
          <w:i/>
          <w:iCs/>
          <w:color w:val="000000"/>
        </w:rPr>
        <w:t>The Long Recessional: The Imperial Life of Rudyard Kipling.</w:t>
      </w:r>
      <w:r>
        <w:rPr>
          <w:color w:val="000000"/>
        </w:rPr>
        <w:t xml:space="preserve">  New York:  </w:t>
      </w:r>
    </w:p>
    <w:p w:rsidR="007B118B" w:rsidRDefault="007B118B" w:rsidP="007B118B">
      <w:pPr>
        <w:pStyle w:val="NormalWeb"/>
        <w:spacing w:before="0" w:beforeAutospacing="0" w:after="0" w:afterAutospacing="0"/>
        <w:ind w:left="720"/>
      </w:pPr>
      <w:proofErr w:type="gramStart"/>
      <w:r>
        <w:rPr>
          <w:color w:val="000000"/>
        </w:rPr>
        <w:t>Farrar, Straus and Giroux, 2002.</w:t>
      </w:r>
      <w:proofErr w:type="gramEnd"/>
    </w:p>
    <w:p w:rsidR="00D94946" w:rsidRDefault="00D94946" w:rsidP="009F4C3C">
      <w:pPr>
        <w:pStyle w:val="NormalWeb"/>
        <w:spacing w:before="0" w:beforeAutospacing="0" w:after="0" w:afterAutospacing="0"/>
        <w:ind w:left="720"/>
        <w:rPr>
          <w:color w:val="000000"/>
        </w:rPr>
      </w:pPr>
    </w:p>
    <w:p w:rsidR="007B118B" w:rsidRDefault="00D94946" w:rsidP="009F4C3C">
      <w:pPr>
        <w:pStyle w:val="NormalWeb"/>
        <w:spacing w:before="0" w:beforeAutospacing="0" w:after="0" w:afterAutospacing="0"/>
        <w:ind w:left="720"/>
        <w:rPr>
          <w:color w:val="000000"/>
        </w:rPr>
      </w:pPr>
      <w:r>
        <w:rPr>
          <w:color w:val="000000"/>
        </w:rPr>
        <w:t>A</w:t>
      </w:r>
      <w:r w:rsidR="007B118B">
        <w:rPr>
          <w:color w:val="000000"/>
        </w:rPr>
        <w:t xml:space="preserve"> biography of Rudyard Kipling, this book chronicles not only the man’s life but also the influence of imperialism on his works. Kipling was a staunch supporter of British imperialism in India and around the world. His views are reflected in his famous poems.</w:t>
      </w:r>
    </w:p>
    <w:p w:rsidR="00D94946" w:rsidRDefault="00D94946" w:rsidP="009F4C3C">
      <w:pPr>
        <w:pStyle w:val="NormalWeb"/>
        <w:spacing w:before="0" w:beforeAutospacing="0" w:after="0" w:afterAutospacing="0"/>
        <w:ind w:left="720"/>
      </w:pPr>
    </w:p>
    <w:p w:rsidR="00D94946" w:rsidRDefault="00D94946" w:rsidP="009F4C3C">
      <w:pPr>
        <w:pStyle w:val="NormalWeb"/>
        <w:spacing w:before="0" w:beforeAutospacing="0" w:after="0" w:afterAutospacing="0"/>
        <w:ind w:left="720"/>
      </w:pPr>
    </w:p>
    <w:p w:rsidR="007B118B" w:rsidRDefault="007B118B" w:rsidP="007B118B">
      <w:pPr>
        <w:pStyle w:val="NormalWeb"/>
        <w:spacing w:before="0" w:beforeAutospacing="0" w:after="0" w:afterAutospacing="0"/>
      </w:pPr>
      <w:r>
        <w:rPr>
          <w:color w:val="000000"/>
        </w:rPr>
        <w:t>Robinson, Simon.  “How India ‘Colonized’ Britain.”  </w:t>
      </w:r>
      <w:r>
        <w:rPr>
          <w:i/>
          <w:iCs/>
          <w:color w:val="000000"/>
        </w:rPr>
        <w:t>TIME</w:t>
      </w:r>
      <w:r>
        <w:rPr>
          <w:color w:val="000000"/>
        </w:rPr>
        <w:t xml:space="preserve">, April 11, 2008.  Accessed </w:t>
      </w:r>
    </w:p>
    <w:p w:rsidR="007B118B" w:rsidRDefault="007B118B" w:rsidP="007B118B">
      <w:pPr>
        <w:pStyle w:val="NormalWeb"/>
        <w:spacing w:before="0" w:beforeAutospacing="0" w:after="0" w:afterAutospacing="0"/>
        <w:ind w:left="720"/>
      </w:pPr>
      <w:r>
        <w:rPr>
          <w:color w:val="000000"/>
        </w:rPr>
        <w:t>December 23, 2015.  </w:t>
      </w:r>
      <w:r w:rsidRPr="00484938">
        <w:t>http://content.time.com/time/world/article/0,8599,1730172,00.html</w:t>
      </w:r>
      <w:r>
        <w:t>.</w:t>
      </w:r>
    </w:p>
    <w:p w:rsidR="00D94946" w:rsidRDefault="00D94946" w:rsidP="009F4C3C">
      <w:pPr>
        <w:pStyle w:val="NormalWeb"/>
        <w:spacing w:before="0" w:beforeAutospacing="0" w:after="0" w:afterAutospacing="0"/>
        <w:ind w:left="720"/>
        <w:rPr>
          <w:color w:val="000000"/>
        </w:rPr>
      </w:pPr>
    </w:p>
    <w:p w:rsidR="009F4C3C" w:rsidRDefault="007B118B" w:rsidP="009F4C3C">
      <w:pPr>
        <w:pStyle w:val="NormalWeb"/>
        <w:spacing w:before="0" w:beforeAutospacing="0" w:after="0" w:afterAutospacing="0"/>
        <w:ind w:left="720"/>
        <w:rPr>
          <w:color w:val="000000"/>
        </w:rPr>
      </w:pPr>
      <w:r>
        <w:rPr>
          <w:color w:val="000000"/>
        </w:rPr>
        <w:t>In this article, Simon Robinson discusses the shared cultural interests of Britain and India that developed after a shared history of colonial rule.  Now, as one of the fastest-developing countries in the world, India is still linked to Britain - most recently in the acquisition of British brands Jaguar and Land Rover by the Indian company Tata Motors.</w:t>
      </w:r>
    </w:p>
    <w:p w:rsidR="009F4C3C" w:rsidRDefault="009F4C3C" w:rsidP="009F4C3C">
      <w:pPr>
        <w:pStyle w:val="NormalWeb"/>
        <w:spacing w:before="0" w:beforeAutospacing="0" w:after="0" w:afterAutospacing="0"/>
        <w:ind w:left="720"/>
      </w:pPr>
    </w:p>
    <w:p w:rsidR="00D94946" w:rsidRDefault="00D94946" w:rsidP="009F4C3C">
      <w:pPr>
        <w:pStyle w:val="NormalWeb"/>
        <w:spacing w:before="0" w:beforeAutospacing="0" w:after="0" w:afterAutospacing="0"/>
        <w:ind w:left="720"/>
      </w:pPr>
    </w:p>
    <w:p w:rsidR="009F4C3C" w:rsidRPr="009F4C3C" w:rsidRDefault="009F4C3C" w:rsidP="009F4C3C">
      <w:pPr>
        <w:pStyle w:val="NoSpacing"/>
        <w:rPr>
          <w:rFonts w:ascii="Times New Roman" w:hAnsi="Times New Roman" w:cs="Times New Roman"/>
          <w:sz w:val="24"/>
        </w:rPr>
      </w:pPr>
      <w:proofErr w:type="gramStart"/>
      <w:r w:rsidRPr="009F4C3C">
        <w:rPr>
          <w:rFonts w:ascii="Times New Roman" w:hAnsi="Times New Roman" w:cs="Times New Roman"/>
          <w:sz w:val="24"/>
        </w:rPr>
        <w:t>Taylor, Anna-Louise.</w:t>
      </w:r>
      <w:proofErr w:type="gramEnd"/>
      <w:r w:rsidRPr="009F4C3C">
        <w:rPr>
          <w:rFonts w:ascii="Times New Roman" w:hAnsi="Times New Roman" w:cs="Times New Roman"/>
          <w:sz w:val="24"/>
        </w:rPr>
        <w:t xml:space="preserve">  “Curry: Where did it come from?”  </w:t>
      </w:r>
      <w:r w:rsidRPr="009F4C3C">
        <w:rPr>
          <w:rFonts w:ascii="Times New Roman" w:hAnsi="Times New Roman" w:cs="Times New Roman"/>
          <w:i/>
          <w:sz w:val="24"/>
        </w:rPr>
        <w:t>BBC</w:t>
      </w:r>
      <w:r w:rsidRPr="009F4C3C">
        <w:rPr>
          <w:rFonts w:ascii="Times New Roman" w:hAnsi="Times New Roman" w:cs="Times New Roman"/>
          <w:sz w:val="24"/>
        </w:rPr>
        <w:t xml:space="preserve">, October 11, 2013.  </w:t>
      </w:r>
      <w:proofErr w:type="gramStart"/>
      <w:r w:rsidRPr="009F4C3C">
        <w:rPr>
          <w:rFonts w:ascii="Times New Roman" w:hAnsi="Times New Roman" w:cs="Times New Roman"/>
          <w:sz w:val="24"/>
        </w:rPr>
        <w:t>Accessed January 19, 2016.</w:t>
      </w:r>
      <w:proofErr w:type="gramEnd"/>
      <w:r w:rsidRPr="009F4C3C">
        <w:rPr>
          <w:rFonts w:ascii="Times New Roman" w:hAnsi="Times New Roman" w:cs="Times New Roman"/>
          <w:sz w:val="24"/>
        </w:rPr>
        <w:t xml:space="preserve">  http://www.bbc.co.uk/food/0/24432750. </w:t>
      </w:r>
    </w:p>
    <w:p w:rsidR="00D94946" w:rsidRDefault="00D94946" w:rsidP="009F4C3C">
      <w:pPr>
        <w:pStyle w:val="NoSpacing"/>
        <w:ind w:left="720"/>
        <w:rPr>
          <w:rFonts w:ascii="Times New Roman" w:hAnsi="Times New Roman" w:cs="Times New Roman"/>
          <w:sz w:val="24"/>
        </w:rPr>
      </w:pPr>
    </w:p>
    <w:p w:rsidR="009F4C3C" w:rsidRDefault="009F4C3C" w:rsidP="009F4C3C">
      <w:pPr>
        <w:pStyle w:val="NoSpacing"/>
        <w:ind w:left="720"/>
        <w:rPr>
          <w:rFonts w:ascii="Times New Roman" w:hAnsi="Times New Roman" w:cs="Times New Roman"/>
          <w:sz w:val="24"/>
        </w:rPr>
      </w:pPr>
      <w:r w:rsidRPr="009F4C3C">
        <w:rPr>
          <w:rFonts w:ascii="Times New Roman" w:hAnsi="Times New Roman" w:cs="Times New Roman"/>
          <w:sz w:val="24"/>
        </w:rPr>
        <w:t>This article is about the history of curry and its worldwide popularity today.  It discusses the various denotations of the word “curry” and delineates the influence of India on British cuisine and culture.</w:t>
      </w:r>
    </w:p>
    <w:p w:rsidR="009F4C3C" w:rsidRDefault="009F4C3C" w:rsidP="009F4C3C">
      <w:pPr>
        <w:pStyle w:val="NoSpacing"/>
        <w:ind w:left="720"/>
        <w:rPr>
          <w:rFonts w:ascii="Times New Roman" w:hAnsi="Times New Roman" w:cs="Times New Roman"/>
          <w:sz w:val="24"/>
        </w:rPr>
      </w:pPr>
    </w:p>
    <w:p w:rsidR="00D94946" w:rsidRPr="009F4C3C" w:rsidRDefault="00D94946" w:rsidP="009F4C3C">
      <w:pPr>
        <w:pStyle w:val="NoSpacing"/>
        <w:ind w:left="720"/>
        <w:rPr>
          <w:rFonts w:ascii="Times New Roman" w:hAnsi="Times New Roman" w:cs="Times New Roman"/>
          <w:sz w:val="24"/>
        </w:rPr>
      </w:pPr>
    </w:p>
    <w:p w:rsidR="009F4C3C" w:rsidRDefault="009F4C3C" w:rsidP="009F4C3C">
      <w:pPr>
        <w:pStyle w:val="NormalWeb"/>
        <w:spacing w:before="0" w:beforeAutospacing="0" w:after="0" w:afterAutospacing="0"/>
      </w:pPr>
      <w:r>
        <w:rPr>
          <w:color w:val="000000"/>
        </w:rPr>
        <w:t>Walsh, Judith E.  </w:t>
      </w:r>
      <w:r>
        <w:rPr>
          <w:i/>
          <w:iCs/>
          <w:color w:val="000000"/>
        </w:rPr>
        <w:t>A Brief History of India</w:t>
      </w:r>
      <w:r>
        <w:rPr>
          <w:color w:val="000000"/>
        </w:rPr>
        <w:t xml:space="preserve">, 2nd </w:t>
      </w:r>
      <w:proofErr w:type="gramStart"/>
      <w:r>
        <w:rPr>
          <w:color w:val="000000"/>
        </w:rPr>
        <w:t>ed</w:t>
      </w:r>
      <w:proofErr w:type="gramEnd"/>
      <w:r>
        <w:rPr>
          <w:color w:val="000000"/>
        </w:rPr>
        <w:t>.  New York:  Facts on File, Inc., 2011.</w:t>
      </w:r>
    </w:p>
    <w:p w:rsidR="00D94946" w:rsidRDefault="00D94946" w:rsidP="009F4C3C">
      <w:pPr>
        <w:pStyle w:val="NormalWeb"/>
        <w:spacing w:before="0" w:beforeAutospacing="0" w:after="0" w:afterAutospacing="0"/>
        <w:ind w:left="720"/>
        <w:rPr>
          <w:color w:val="000000"/>
        </w:rPr>
      </w:pPr>
    </w:p>
    <w:p w:rsidR="009F4C3C" w:rsidRDefault="009F4C3C" w:rsidP="009F4C3C">
      <w:pPr>
        <w:pStyle w:val="NormalWeb"/>
        <w:spacing w:before="0" w:beforeAutospacing="0" w:after="0" w:afterAutospacing="0"/>
        <w:ind w:left="720"/>
      </w:pPr>
      <w:r>
        <w:rPr>
          <w:color w:val="000000"/>
        </w:rPr>
        <w:t xml:space="preserve">This book covers nearly the entire history of India but provides crucial information about colonial times and the impact of British influence on India.  It also </w:t>
      </w:r>
      <w:r w:rsidR="00D94946">
        <w:rPr>
          <w:color w:val="000000"/>
        </w:rPr>
        <w:t>examines</w:t>
      </w:r>
      <w:r>
        <w:rPr>
          <w:color w:val="000000"/>
        </w:rPr>
        <w:t xml:space="preserve"> </w:t>
      </w:r>
      <w:proofErr w:type="spellStart"/>
      <w:r>
        <w:rPr>
          <w:color w:val="000000"/>
        </w:rPr>
        <w:t>Ghandi</w:t>
      </w:r>
      <w:proofErr w:type="spellEnd"/>
      <w:r>
        <w:rPr>
          <w:color w:val="000000"/>
        </w:rPr>
        <w:t xml:space="preserve"> and the nationalist movement during the period of transition to Indian independence.</w:t>
      </w:r>
    </w:p>
    <w:p w:rsidR="007B118B" w:rsidRPr="005908C0" w:rsidRDefault="007B118B" w:rsidP="009F4C3C">
      <w:pPr>
        <w:rPr>
          <w:rFonts w:ascii="Times New Roman" w:eastAsia="Times New Roman" w:hAnsi="Times New Roman" w:cs="Times New Roman"/>
          <w:color w:val="000000"/>
          <w:sz w:val="24"/>
          <w:szCs w:val="24"/>
        </w:rPr>
      </w:pPr>
    </w:p>
    <w:sectPr w:rsidR="007B118B" w:rsidRPr="005908C0" w:rsidSect="009F4C3C">
      <w:footerReference w:type="default" r:id="rId10"/>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855" w:rsidRDefault="00A06855" w:rsidP="00A614D8">
      <w:pPr>
        <w:spacing w:after="0" w:line="240" w:lineRule="auto"/>
      </w:pPr>
      <w:r>
        <w:separator/>
      </w:r>
    </w:p>
  </w:endnote>
  <w:endnote w:type="continuationSeparator" w:id="0">
    <w:p w:rsidR="00A06855" w:rsidRDefault="00A06855" w:rsidP="00A61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819262"/>
      <w:docPartObj>
        <w:docPartGallery w:val="Page Numbers (Bottom of Page)"/>
        <w:docPartUnique/>
      </w:docPartObj>
    </w:sdtPr>
    <w:sdtEndPr>
      <w:rPr>
        <w:rFonts w:ascii="Times New Roman" w:hAnsi="Times New Roman" w:cs="Times New Roman"/>
        <w:noProof/>
        <w:sz w:val="24"/>
      </w:rPr>
    </w:sdtEndPr>
    <w:sdtContent>
      <w:p w:rsidR="009F4C3C" w:rsidRPr="009F4C3C" w:rsidRDefault="009F4C3C">
        <w:pPr>
          <w:pStyle w:val="Footer"/>
          <w:jc w:val="center"/>
          <w:rPr>
            <w:rFonts w:ascii="Times New Roman" w:hAnsi="Times New Roman" w:cs="Times New Roman"/>
            <w:sz w:val="24"/>
          </w:rPr>
        </w:pPr>
        <w:r w:rsidRPr="009F4C3C">
          <w:rPr>
            <w:rFonts w:ascii="Times New Roman" w:hAnsi="Times New Roman" w:cs="Times New Roman"/>
            <w:sz w:val="24"/>
          </w:rPr>
          <w:fldChar w:fldCharType="begin"/>
        </w:r>
        <w:r w:rsidRPr="009F4C3C">
          <w:rPr>
            <w:rFonts w:ascii="Times New Roman" w:hAnsi="Times New Roman" w:cs="Times New Roman"/>
            <w:sz w:val="24"/>
          </w:rPr>
          <w:instrText xml:space="preserve"> PAGE   \* MERGEFORMAT </w:instrText>
        </w:r>
        <w:r w:rsidRPr="009F4C3C">
          <w:rPr>
            <w:rFonts w:ascii="Times New Roman" w:hAnsi="Times New Roman" w:cs="Times New Roman"/>
            <w:sz w:val="24"/>
          </w:rPr>
          <w:fldChar w:fldCharType="separate"/>
        </w:r>
        <w:r w:rsidR="00FF15D2">
          <w:rPr>
            <w:rFonts w:ascii="Times New Roman" w:hAnsi="Times New Roman" w:cs="Times New Roman"/>
            <w:noProof/>
            <w:sz w:val="24"/>
          </w:rPr>
          <w:t>8</w:t>
        </w:r>
        <w:r w:rsidRPr="009F4C3C">
          <w:rPr>
            <w:rFonts w:ascii="Times New Roman" w:hAnsi="Times New Roman" w:cs="Times New Roman"/>
            <w:noProof/>
            <w:sz w:val="24"/>
          </w:rPr>
          <w:fldChar w:fldCharType="end"/>
        </w:r>
      </w:p>
    </w:sdtContent>
  </w:sdt>
  <w:p w:rsidR="008B3DF1" w:rsidRDefault="008B3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0B" w:rsidRPr="009F4C3C" w:rsidRDefault="00B7150B">
    <w:pPr>
      <w:pStyle w:val="Footer"/>
      <w:jc w:val="center"/>
      <w:rPr>
        <w:rFonts w:ascii="Times New Roman" w:hAnsi="Times New Roman" w:cs="Times New Roman"/>
        <w:sz w:val="24"/>
      </w:rPr>
    </w:pPr>
  </w:p>
  <w:p w:rsidR="00B7150B" w:rsidRDefault="00B715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855" w:rsidRDefault="00A06855" w:rsidP="00A614D8">
      <w:pPr>
        <w:spacing w:after="0" w:line="240" w:lineRule="auto"/>
      </w:pPr>
      <w:r>
        <w:separator/>
      </w:r>
    </w:p>
  </w:footnote>
  <w:footnote w:type="continuationSeparator" w:id="0">
    <w:p w:rsidR="00A06855" w:rsidRDefault="00A06855" w:rsidP="00A614D8">
      <w:pPr>
        <w:spacing w:after="0" w:line="240" w:lineRule="auto"/>
      </w:pPr>
      <w:r>
        <w:continuationSeparator/>
      </w:r>
    </w:p>
  </w:footnote>
  <w:footnote w:id="1">
    <w:p w:rsidR="00A06855" w:rsidRPr="008F1BFB" w:rsidRDefault="00A06855" w:rsidP="008F1BFB">
      <w:pPr>
        <w:pStyle w:val="NormalWeb"/>
        <w:spacing w:before="0" w:beforeAutospacing="0" w:after="0" w:afterAutospacing="0"/>
        <w:rPr>
          <w:color w:val="000000"/>
          <w:sz w:val="20"/>
          <w:szCs w:val="20"/>
        </w:rPr>
      </w:pPr>
      <w:r w:rsidRPr="00860E07">
        <w:rPr>
          <w:rStyle w:val="FootnoteReference"/>
          <w:sz w:val="20"/>
          <w:szCs w:val="20"/>
        </w:rPr>
        <w:footnoteRef/>
      </w:r>
      <w:r w:rsidRPr="00860E07">
        <w:rPr>
          <w:sz w:val="20"/>
          <w:szCs w:val="20"/>
        </w:rPr>
        <w:t xml:space="preserve"> Gregory </w:t>
      </w:r>
      <w:r w:rsidRPr="00860E07">
        <w:rPr>
          <w:color w:val="000000"/>
          <w:sz w:val="20"/>
          <w:szCs w:val="20"/>
        </w:rPr>
        <w:t xml:space="preserve">Fremont-Barnes, </w:t>
      </w:r>
      <w:r w:rsidRPr="00860E07">
        <w:rPr>
          <w:i/>
          <w:color w:val="000000"/>
          <w:sz w:val="20"/>
          <w:szCs w:val="20"/>
        </w:rPr>
        <w:t xml:space="preserve">Essential Histories: The Indian Mutiny 1857-58 </w:t>
      </w:r>
      <w:r w:rsidRPr="00860E07">
        <w:rPr>
          <w:color w:val="000000"/>
          <w:sz w:val="20"/>
          <w:szCs w:val="20"/>
        </w:rPr>
        <w:t>(Oxford:  Osprey Publishing Ltd., 2007), pp. 14.</w:t>
      </w:r>
    </w:p>
  </w:footnote>
  <w:footnote w:id="2">
    <w:p w:rsidR="00A06855" w:rsidRDefault="00A06855">
      <w:pPr>
        <w:pStyle w:val="FootnoteText"/>
        <w:rPr>
          <w:rFonts w:ascii="Times New Roman" w:hAnsi="Times New Roman" w:cs="Times New Roman"/>
        </w:rPr>
      </w:pPr>
      <w:r w:rsidRPr="00860E07">
        <w:rPr>
          <w:rStyle w:val="FootnoteReference"/>
          <w:rFonts w:ascii="Times New Roman" w:hAnsi="Times New Roman" w:cs="Times New Roman"/>
        </w:rPr>
        <w:footnoteRef/>
      </w:r>
      <w:r w:rsidRPr="00860E07">
        <w:rPr>
          <w:rFonts w:ascii="Times New Roman" w:hAnsi="Times New Roman" w:cs="Times New Roman"/>
        </w:rPr>
        <w:t xml:space="preserve"> </w:t>
      </w:r>
      <w:r>
        <w:rPr>
          <w:rFonts w:ascii="Times New Roman" w:hAnsi="Times New Roman" w:cs="Times New Roman"/>
        </w:rPr>
        <w:t>Ibid.</w:t>
      </w:r>
    </w:p>
    <w:p w:rsidR="00A06855" w:rsidRPr="00860E07" w:rsidRDefault="00A06855">
      <w:pPr>
        <w:pStyle w:val="FootnoteText"/>
        <w:rPr>
          <w:rFonts w:ascii="Times New Roman" w:hAnsi="Times New Roman" w:cs="Times New Roman"/>
        </w:rPr>
      </w:pPr>
    </w:p>
  </w:footnote>
  <w:footnote w:id="3">
    <w:p w:rsidR="00A06855" w:rsidRPr="008F1BFB" w:rsidRDefault="00A06855" w:rsidP="008F1BFB">
      <w:pPr>
        <w:pStyle w:val="NormalWeb"/>
        <w:spacing w:before="0" w:beforeAutospacing="0" w:after="0" w:afterAutospacing="0"/>
        <w:rPr>
          <w:i/>
          <w:color w:val="000000"/>
          <w:sz w:val="16"/>
          <w:szCs w:val="20"/>
        </w:rPr>
      </w:pPr>
      <w:r w:rsidRPr="00FB6FEE">
        <w:rPr>
          <w:rStyle w:val="FootnoteReference"/>
          <w:sz w:val="20"/>
          <w:szCs w:val="20"/>
        </w:rPr>
        <w:footnoteRef/>
      </w:r>
      <w:r w:rsidRPr="00FB6FEE">
        <w:rPr>
          <w:sz w:val="20"/>
          <w:szCs w:val="20"/>
        </w:rPr>
        <w:t xml:space="preserve"> </w:t>
      </w:r>
      <w:r w:rsidRPr="00FB6FEE">
        <w:rPr>
          <w:color w:val="000000"/>
          <w:sz w:val="20"/>
          <w:szCs w:val="20"/>
        </w:rPr>
        <w:t xml:space="preserve">Linda </w:t>
      </w:r>
      <w:r>
        <w:rPr>
          <w:color w:val="000000"/>
          <w:sz w:val="20"/>
          <w:szCs w:val="20"/>
        </w:rPr>
        <w:t xml:space="preserve">Ali and John </w:t>
      </w:r>
      <w:proofErr w:type="spellStart"/>
      <w:r>
        <w:rPr>
          <w:color w:val="000000"/>
          <w:sz w:val="20"/>
          <w:szCs w:val="20"/>
        </w:rPr>
        <w:t>Siblon</w:t>
      </w:r>
      <w:proofErr w:type="spellEnd"/>
      <w:r>
        <w:rPr>
          <w:color w:val="000000"/>
          <w:sz w:val="20"/>
          <w:szCs w:val="20"/>
        </w:rPr>
        <w:t xml:space="preserve">, </w:t>
      </w:r>
      <w:r w:rsidRPr="00FB6FEE">
        <w:rPr>
          <w:color w:val="000000"/>
          <w:sz w:val="20"/>
          <w:szCs w:val="20"/>
        </w:rPr>
        <w:t>“Influencing Britain</w:t>
      </w:r>
      <w:r>
        <w:rPr>
          <w:color w:val="000000"/>
          <w:sz w:val="20"/>
          <w:szCs w:val="20"/>
        </w:rPr>
        <w:t xml:space="preserve">,” </w:t>
      </w:r>
      <w:r w:rsidRPr="00FB6FEE">
        <w:rPr>
          <w:i/>
          <w:color w:val="000000"/>
          <w:sz w:val="20"/>
          <w:szCs w:val="20"/>
        </w:rPr>
        <w:t xml:space="preserve">Black Presence: Asian and Black History in </w:t>
      </w:r>
      <w:proofErr w:type="gramStart"/>
      <w:r>
        <w:rPr>
          <w:i/>
          <w:color w:val="000000"/>
          <w:sz w:val="20"/>
          <w:szCs w:val="20"/>
        </w:rPr>
        <w:t>Britain,</w:t>
      </w:r>
      <w:proofErr w:type="gramEnd"/>
      <w:r>
        <w:rPr>
          <w:color w:val="000000"/>
          <w:sz w:val="20"/>
          <w:szCs w:val="20"/>
        </w:rPr>
        <w:t xml:space="preserve"> a</w:t>
      </w:r>
      <w:r w:rsidRPr="00FB6FEE">
        <w:rPr>
          <w:color w:val="000000"/>
          <w:sz w:val="20"/>
          <w:szCs w:val="20"/>
        </w:rPr>
        <w:t xml:space="preserve">ccessed </w:t>
      </w:r>
      <w:r>
        <w:rPr>
          <w:color w:val="000000"/>
          <w:sz w:val="20"/>
          <w:szCs w:val="20"/>
        </w:rPr>
        <w:t xml:space="preserve">January 19, 2016, </w:t>
      </w:r>
      <w:r w:rsidRPr="003A01A1">
        <w:rPr>
          <w:color w:val="000000"/>
          <w:sz w:val="20"/>
        </w:rPr>
        <w:t>http://www.nationalarchives.gov.uk/pathways/blackhistory/culture/influencing.htm.</w:t>
      </w:r>
    </w:p>
  </w:footnote>
  <w:footnote w:id="4">
    <w:p w:rsidR="00A06855" w:rsidRPr="008F1BFB" w:rsidRDefault="00A06855" w:rsidP="008F1BFB">
      <w:pPr>
        <w:pStyle w:val="NormalWeb"/>
        <w:spacing w:before="0" w:beforeAutospacing="0" w:after="0" w:afterAutospacing="0"/>
        <w:rPr>
          <w:i/>
          <w:color w:val="000000"/>
          <w:sz w:val="20"/>
          <w:szCs w:val="20"/>
        </w:rPr>
      </w:pPr>
      <w:r w:rsidRPr="00E9039E">
        <w:rPr>
          <w:rStyle w:val="FootnoteReference"/>
          <w:sz w:val="20"/>
          <w:szCs w:val="20"/>
        </w:rPr>
        <w:footnoteRef/>
      </w:r>
      <w:r w:rsidRPr="00E9039E">
        <w:rPr>
          <w:sz w:val="20"/>
          <w:szCs w:val="20"/>
        </w:rPr>
        <w:t xml:space="preserve"> </w:t>
      </w:r>
      <w:r w:rsidR="00CC5C6F">
        <w:rPr>
          <w:color w:val="000000"/>
          <w:sz w:val="20"/>
          <w:szCs w:val="20"/>
        </w:rPr>
        <w:t>Ibid</w:t>
      </w:r>
      <w:r w:rsidRPr="00E9039E">
        <w:rPr>
          <w:color w:val="000000"/>
          <w:sz w:val="20"/>
          <w:szCs w:val="20"/>
        </w:rPr>
        <w:t>.</w:t>
      </w:r>
    </w:p>
  </w:footnote>
  <w:footnote w:id="5">
    <w:p w:rsidR="00A06855" w:rsidRPr="008F1BFB" w:rsidRDefault="00A06855" w:rsidP="008F1BFB">
      <w:pPr>
        <w:pStyle w:val="NormalWeb"/>
        <w:spacing w:before="0" w:beforeAutospacing="0" w:after="0" w:afterAutospacing="0"/>
        <w:rPr>
          <w:i/>
          <w:iCs/>
          <w:color w:val="000000"/>
          <w:sz w:val="20"/>
          <w:szCs w:val="20"/>
        </w:rPr>
      </w:pPr>
      <w:r w:rsidRPr="00E9039E">
        <w:rPr>
          <w:rStyle w:val="FootnoteReference"/>
          <w:sz w:val="20"/>
          <w:szCs w:val="20"/>
        </w:rPr>
        <w:footnoteRef/>
      </w:r>
      <w:r w:rsidRPr="00E9039E">
        <w:rPr>
          <w:sz w:val="20"/>
          <w:szCs w:val="20"/>
        </w:rPr>
        <w:t xml:space="preserve"> </w:t>
      </w:r>
      <w:r>
        <w:rPr>
          <w:sz w:val="20"/>
          <w:szCs w:val="20"/>
        </w:rPr>
        <w:t xml:space="preserve">Denise </w:t>
      </w:r>
      <w:proofErr w:type="spellStart"/>
      <w:r w:rsidRPr="00E9039E">
        <w:rPr>
          <w:color w:val="000000"/>
          <w:sz w:val="20"/>
          <w:szCs w:val="20"/>
        </w:rPr>
        <w:t>Dersin</w:t>
      </w:r>
      <w:proofErr w:type="spellEnd"/>
      <w:r w:rsidRPr="00E9039E">
        <w:rPr>
          <w:color w:val="000000"/>
          <w:sz w:val="20"/>
          <w:szCs w:val="20"/>
        </w:rPr>
        <w:t>, ed.</w:t>
      </w:r>
      <w:r>
        <w:rPr>
          <w:color w:val="000000"/>
          <w:sz w:val="20"/>
          <w:szCs w:val="20"/>
        </w:rPr>
        <w:t>,</w:t>
      </w:r>
      <w:r w:rsidRPr="00E9039E">
        <w:rPr>
          <w:color w:val="000000"/>
          <w:sz w:val="20"/>
          <w:szCs w:val="20"/>
        </w:rPr>
        <w:t xml:space="preserve"> </w:t>
      </w:r>
      <w:r w:rsidRPr="00E9039E">
        <w:rPr>
          <w:i/>
          <w:iCs/>
          <w:color w:val="000000"/>
          <w:sz w:val="20"/>
          <w:szCs w:val="20"/>
        </w:rPr>
        <w:t>What Life Was Like In the Jewel In the Crown: British India, AD 1600-</w:t>
      </w:r>
      <w:r>
        <w:rPr>
          <w:i/>
          <w:iCs/>
          <w:color w:val="000000"/>
          <w:sz w:val="20"/>
          <w:szCs w:val="20"/>
        </w:rPr>
        <w:t>1905</w:t>
      </w:r>
      <w:r w:rsidRPr="00E9039E">
        <w:rPr>
          <w:color w:val="000000"/>
          <w:sz w:val="20"/>
          <w:szCs w:val="20"/>
        </w:rPr>
        <w:t> </w:t>
      </w:r>
      <w:r>
        <w:rPr>
          <w:color w:val="000000"/>
          <w:sz w:val="20"/>
          <w:szCs w:val="20"/>
        </w:rPr>
        <w:t>(</w:t>
      </w:r>
      <w:r w:rsidRPr="00E9039E">
        <w:rPr>
          <w:color w:val="000000"/>
          <w:sz w:val="20"/>
          <w:szCs w:val="20"/>
        </w:rPr>
        <w:t xml:space="preserve">Richmond: </w:t>
      </w:r>
      <w:r>
        <w:rPr>
          <w:color w:val="000000"/>
          <w:sz w:val="20"/>
          <w:szCs w:val="20"/>
        </w:rPr>
        <w:t xml:space="preserve"> </w:t>
      </w:r>
      <w:r w:rsidRPr="00E9039E">
        <w:rPr>
          <w:color w:val="000000"/>
          <w:sz w:val="20"/>
          <w:szCs w:val="20"/>
        </w:rPr>
        <w:t>Time Life Inc., 1999</w:t>
      </w:r>
      <w:r>
        <w:rPr>
          <w:color w:val="000000"/>
          <w:sz w:val="20"/>
          <w:szCs w:val="20"/>
        </w:rPr>
        <w:t>), pp. 91.</w:t>
      </w:r>
    </w:p>
  </w:footnote>
  <w:footnote w:id="6">
    <w:p w:rsidR="00A06855" w:rsidRPr="008F1BFB" w:rsidRDefault="00A06855" w:rsidP="008F1BFB">
      <w:pPr>
        <w:pStyle w:val="NormalWeb"/>
        <w:spacing w:before="0" w:beforeAutospacing="0" w:after="0" w:afterAutospacing="0"/>
        <w:rPr>
          <w:sz w:val="20"/>
          <w:szCs w:val="20"/>
        </w:rPr>
      </w:pPr>
      <w:r w:rsidRPr="00E9039E">
        <w:rPr>
          <w:rStyle w:val="FootnoteReference"/>
          <w:sz w:val="20"/>
          <w:szCs w:val="20"/>
        </w:rPr>
        <w:footnoteRef/>
      </w:r>
      <w:r w:rsidRPr="00E9039E">
        <w:rPr>
          <w:sz w:val="20"/>
          <w:szCs w:val="20"/>
        </w:rPr>
        <w:t xml:space="preserve"> </w:t>
      </w:r>
      <w:r>
        <w:rPr>
          <w:sz w:val="20"/>
          <w:szCs w:val="20"/>
        </w:rPr>
        <w:t xml:space="preserve">Michael </w:t>
      </w:r>
      <w:proofErr w:type="spellStart"/>
      <w:r w:rsidRPr="00E9039E">
        <w:rPr>
          <w:color w:val="000000"/>
          <w:sz w:val="20"/>
          <w:szCs w:val="20"/>
        </w:rPr>
        <w:t>Holford</w:t>
      </w:r>
      <w:proofErr w:type="spellEnd"/>
      <w:r w:rsidRPr="00E9039E">
        <w:rPr>
          <w:color w:val="000000"/>
          <w:sz w:val="20"/>
          <w:szCs w:val="20"/>
        </w:rPr>
        <w:t xml:space="preserve">, </w:t>
      </w:r>
      <w:r>
        <w:rPr>
          <w:color w:val="000000"/>
          <w:sz w:val="20"/>
          <w:szCs w:val="20"/>
        </w:rPr>
        <w:t>photographer, “18th-century European dress,” photograph (</w:t>
      </w:r>
      <w:r w:rsidRPr="00E9039E">
        <w:rPr>
          <w:color w:val="000000"/>
          <w:sz w:val="20"/>
          <w:szCs w:val="20"/>
        </w:rPr>
        <w:t>Essex:</w:t>
      </w:r>
      <w:r>
        <w:rPr>
          <w:color w:val="000000"/>
          <w:sz w:val="20"/>
          <w:szCs w:val="20"/>
        </w:rPr>
        <w:t xml:space="preserve"> </w:t>
      </w:r>
      <w:r w:rsidRPr="00E9039E">
        <w:rPr>
          <w:color w:val="000000"/>
          <w:sz w:val="20"/>
          <w:szCs w:val="20"/>
        </w:rPr>
        <w:t xml:space="preserve"> Loughton</w:t>
      </w:r>
      <w:r>
        <w:rPr>
          <w:color w:val="000000"/>
          <w:sz w:val="20"/>
          <w:szCs w:val="20"/>
        </w:rPr>
        <w:t>), i</w:t>
      </w:r>
      <w:r w:rsidRPr="00E9039E">
        <w:rPr>
          <w:color w:val="000000"/>
          <w:sz w:val="20"/>
          <w:szCs w:val="20"/>
        </w:rPr>
        <w:t xml:space="preserve">n </w:t>
      </w:r>
      <w:r w:rsidRPr="00E9039E">
        <w:rPr>
          <w:i/>
          <w:iCs/>
          <w:color w:val="000000"/>
          <w:sz w:val="20"/>
          <w:szCs w:val="20"/>
        </w:rPr>
        <w:t>What Life Was L</w:t>
      </w:r>
      <w:r>
        <w:rPr>
          <w:i/>
          <w:iCs/>
          <w:color w:val="000000"/>
          <w:sz w:val="20"/>
          <w:szCs w:val="20"/>
        </w:rPr>
        <w:t xml:space="preserve">ike In the Jewel </w:t>
      </w:r>
      <w:proofErr w:type="gramStart"/>
      <w:r>
        <w:rPr>
          <w:i/>
          <w:iCs/>
          <w:color w:val="000000"/>
          <w:sz w:val="20"/>
          <w:szCs w:val="20"/>
        </w:rPr>
        <w:t>In</w:t>
      </w:r>
      <w:proofErr w:type="gramEnd"/>
      <w:r>
        <w:rPr>
          <w:i/>
          <w:iCs/>
          <w:color w:val="000000"/>
          <w:sz w:val="20"/>
          <w:szCs w:val="20"/>
        </w:rPr>
        <w:t xml:space="preserve"> the Crown: </w:t>
      </w:r>
      <w:r w:rsidRPr="00E9039E">
        <w:rPr>
          <w:i/>
          <w:iCs/>
          <w:color w:val="000000"/>
          <w:sz w:val="20"/>
          <w:szCs w:val="20"/>
        </w:rPr>
        <w:t>British India, AD 1600-1905</w:t>
      </w:r>
      <w:r>
        <w:rPr>
          <w:iCs/>
          <w:color w:val="000000"/>
          <w:sz w:val="20"/>
          <w:szCs w:val="20"/>
        </w:rPr>
        <w:t xml:space="preserve">, Denise </w:t>
      </w:r>
      <w:proofErr w:type="spellStart"/>
      <w:r>
        <w:rPr>
          <w:iCs/>
          <w:color w:val="000000"/>
          <w:sz w:val="20"/>
          <w:szCs w:val="20"/>
        </w:rPr>
        <w:t>Dersin</w:t>
      </w:r>
      <w:proofErr w:type="spellEnd"/>
      <w:r>
        <w:rPr>
          <w:iCs/>
          <w:color w:val="000000"/>
          <w:sz w:val="20"/>
          <w:szCs w:val="20"/>
        </w:rPr>
        <w:t>, ed.</w:t>
      </w:r>
      <w:r w:rsidRPr="00E9039E">
        <w:rPr>
          <w:color w:val="000000"/>
          <w:sz w:val="20"/>
          <w:szCs w:val="20"/>
        </w:rPr>
        <w:t> </w:t>
      </w:r>
      <w:r>
        <w:rPr>
          <w:color w:val="000000"/>
          <w:sz w:val="20"/>
          <w:szCs w:val="20"/>
        </w:rPr>
        <w:t>(</w:t>
      </w:r>
      <w:r w:rsidRPr="00E9039E">
        <w:rPr>
          <w:color w:val="000000"/>
          <w:sz w:val="20"/>
          <w:szCs w:val="20"/>
        </w:rPr>
        <w:t xml:space="preserve">Richmond: </w:t>
      </w:r>
      <w:r>
        <w:rPr>
          <w:color w:val="000000"/>
          <w:sz w:val="20"/>
          <w:szCs w:val="20"/>
        </w:rPr>
        <w:t xml:space="preserve"> </w:t>
      </w:r>
      <w:r w:rsidRPr="00E9039E">
        <w:rPr>
          <w:color w:val="000000"/>
          <w:sz w:val="20"/>
          <w:szCs w:val="20"/>
        </w:rPr>
        <w:t>Time Life Inc., 1999</w:t>
      </w:r>
      <w:r>
        <w:rPr>
          <w:color w:val="000000"/>
          <w:sz w:val="20"/>
          <w:szCs w:val="20"/>
        </w:rPr>
        <w:t>), pp. 93</w:t>
      </w:r>
      <w:r w:rsidRPr="00E9039E">
        <w:rPr>
          <w:color w:val="000000"/>
          <w:sz w:val="20"/>
          <w:szCs w:val="20"/>
        </w:rPr>
        <w:t>.</w:t>
      </w:r>
    </w:p>
  </w:footnote>
  <w:footnote w:id="7">
    <w:p w:rsidR="00A06855" w:rsidRPr="008F1BFB" w:rsidRDefault="00A06855">
      <w:pPr>
        <w:pStyle w:val="FootnoteText"/>
        <w:rPr>
          <w:rFonts w:ascii="Times New Roman" w:hAnsi="Times New Roman" w:cs="Times New Roman"/>
          <w:color w:val="000000"/>
        </w:rPr>
      </w:pPr>
      <w:r w:rsidRPr="00BC0154">
        <w:rPr>
          <w:rStyle w:val="FootnoteReference"/>
          <w:rFonts w:ascii="Times New Roman" w:hAnsi="Times New Roman" w:cs="Times New Roman"/>
        </w:rPr>
        <w:footnoteRef/>
      </w:r>
      <w:r w:rsidRPr="00BC0154">
        <w:rPr>
          <w:rFonts w:ascii="Times New Roman" w:hAnsi="Times New Roman" w:cs="Times New Roman"/>
        </w:rPr>
        <w:t xml:space="preserve"> Denise </w:t>
      </w:r>
      <w:proofErr w:type="spellStart"/>
      <w:r w:rsidRPr="00BC0154">
        <w:rPr>
          <w:rFonts w:ascii="Times New Roman" w:hAnsi="Times New Roman" w:cs="Times New Roman"/>
          <w:color w:val="000000"/>
        </w:rPr>
        <w:t>Dersin</w:t>
      </w:r>
      <w:proofErr w:type="spellEnd"/>
      <w:r w:rsidRPr="00BC0154">
        <w:rPr>
          <w:rFonts w:ascii="Times New Roman" w:hAnsi="Times New Roman" w:cs="Times New Roman"/>
          <w:color w:val="000000"/>
        </w:rPr>
        <w:t xml:space="preserve">, ed., </w:t>
      </w:r>
      <w:r w:rsidRPr="00BC0154">
        <w:rPr>
          <w:rFonts w:ascii="Times New Roman" w:hAnsi="Times New Roman" w:cs="Times New Roman"/>
          <w:i/>
          <w:iCs/>
          <w:color w:val="000000"/>
        </w:rPr>
        <w:t>What Life Was Like In the Jewel In the Crown: British India, AD 1600-1905</w:t>
      </w:r>
      <w:r w:rsidRPr="00BC0154">
        <w:rPr>
          <w:rFonts w:ascii="Times New Roman" w:hAnsi="Times New Roman" w:cs="Times New Roman"/>
          <w:color w:val="000000"/>
        </w:rPr>
        <w:t>, pp. 92.</w:t>
      </w:r>
    </w:p>
  </w:footnote>
  <w:footnote w:id="8">
    <w:p w:rsidR="00A06855" w:rsidRPr="005908C0" w:rsidRDefault="00A06855">
      <w:pPr>
        <w:pStyle w:val="FootnoteText"/>
        <w:rPr>
          <w:rFonts w:ascii="Times New Roman" w:hAnsi="Times New Roman" w:cs="Times New Roman"/>
        </w:rPr>
      </w:pPr>
      <w:r w:rsidRPr="005908C0">
        <w:rPr>
          <w:rStyle w:val="FootnoteReference"/>
          <w:rFonts w:ascii="Times New Roman" w:hAnsi="Times New Roman" w:cs="Times New Roman"/>
        </w:rPr>
        <w:footnoteRef/>
      </w:r>
      <w:r w:rsidRPr="005908C0">
        <w:rPr>
          <w:rFonts w:ascii="Times New Roman" w:hAnsi="Times New Roman" w:cs="Times New Roman"/>
        </w:rPr>
        <w:t xml:space="preserve"> </w:t>
      </w:r>
      <w:r>
        <w:rPr>
          <w:rFonts w:ascii="Times New Roman" w:hAnsi="Times New Roman" w:cs="Times New Roman"/>
        </w:rPr>
        <w:t>Ibid.</w:t>
      </w:r>
    </w:p>
  </w:footnote>
  <w:footnote w:id="9">
    <w:p w:rsidR="00A06855" w:rsidRPr="008F1BFB" w:rsidRDefault="00A06855" w:rsidP="008F1BFB">
      <w:pPr>
        <w:pStyle w:val="NormalWeb"/>
        <w:spacing w:before="0" w:beforeAutospacing="0" w:after="0" w:afterAutospacing="0"/>
        <w:rPr>
          <w:i/>
          <w:color w:val="000000"/>
          <w:sz w:val="20"/>
          <w:szCs w:val="20"/>
        </w:rPr>
      </w:pPr>
      <w:r w:rsidRPr="005908C0">
        <w:rPr>
          <w:rStyle w:val="FootnoteReference"/>
          <w:sz w:val="20"/>
          <w:szCs w:val="20"/>
        </w:rPr>
        <w:footnoteRef/>
      </w:r>
      <w:r w:rsidRPr="005908C0">
        <w:rPr>
          <w:sz w:val="20"/>
          <w:szCs w:val="20"/>
        </w:rPr>
        <w:t xml:space="preserve"> </w:t>
      </w:r>
      <w:r w:rsidRPr="005908C0">
        <w:rPr>
          <w:color w:val="000000"/>
          <w:sz w:val="20"/>
          <w:szCs w:val="20"/>
        </w:rPr>
        <w:t xml:space="preserve">Linda Ali and John </w:t>
      </w:r>
      <w:proofErr w:type="spellStart"/>
      <w:r w:rsidRPr="005908C0">
        <w:rPr>
          <w:color w:val="000000"/>
          <w:sz w:val="20"/>
          <w:szCs w:val="20"/>
        </w:rPr>
        <w:t>Siblon</w:t>
      </w:r>
      <w:proofErr w:type="spellEnd"/>
      <w:r w:rsidRPr="005908C0">
        <w:rPr>
          <w:color w:val="000000"/>
          <w:sz w:val="20"/>
          <w:szCs w:val="20"/>
        </w:rPr>
        <w:t xml:space="preserve">, “Influencing Britain,” </w:t>
      </w:r>
      <w:r w:rsidRPr="005908C0">
        <w:rPr>
          <w:i/>
          <w:color w:val="000000"/>
          <w:sz w:val="20"/>
          <w:szCs w:val="20"/>
        </w:rPr>
        <w:t>Black Presence: Asi</w:t>
      </w:r>
      <w:r w:rsidR="00CC5C6F">
        <w:rPr>
          <w:i/>
          <w:color w:val="000000"/>
          <w:sz w:val="20"/>
          <w:szCs w:val="20"/>
        </w:rPr>
        <w:t>an and Black History in Britain</w:t>
      </w:r>
      <w:r w:rsidRPr="005908C0">
        <w:rPr>
          <w:color w:val="000000"/>
          <w:sz w:val="20"/>
          <w:szCs w:val="20"/>
        </w:rPr>
        <w:t>.</w:t>
      </w:r>
    </w:p>
  </w:footnote>
  <w:footnote w:id="10">
    <w:p w:rsidR="00A06855" w:rsidRPr="0075077F" w:rsidRDefault="00A06855" w:rsidP="0075077F">
      <w:pPr>
        <w:pStyle w:val="NormalWeb"/>
        <w:spacing w:before="0" w:beforeAutospacing="0" w:after="0" w:afterAutospacing="0"/>
        <w:rPr>
          <w:color w:val="000000"/>
          <w:sz w:val="20"/>
          <w:szCs w:val="20"/>
        </w:rPr>
      </w:pPr>
      <w:r w:rsidRPr="0075077F">
        <w:rPr>
          <w:rStyle w:val="FootnoteReference"/>
          <w:sz w:val="20"/>
          <w:szCs w:val="20"/>
        </w:rPr>
        <w:footnoteRef/>
      </w:r>
      <w:r w:rsidRPr="0075077F">
        <w:rPr>
          <w:sz w:val="20"/>
          <w:szCs w:val="20"/>
        </w:rPr>
        <w:t xml:space="preserve"> </w:t>
      </w:r>
      <w:proofErr w:type="gramStart"/>
      <w:r>
        <w:rPr>
          <w:sz w:val="20"/>
          <w:szCs w:val="20"/>
        </w:rPr>
        <w:t xml:space="preserve">William </w:t>
      </w:r>
      <w:proofErr w:type="spellStart"/>
      <w:r w:rsidRPr="0075077F">
        <w:rPr>
          <w:color w:val="000000"/>
          <w:sz w:val="20"/>
          <w:szCs w:val="20"/>
        </w:rPr>
        <w:t>Daniell</w:t>
      </w:r>
      <w:proofErr w:type="spellEnd"/>
      <w:r w:rsidRPr="0075077F">
        <w:rPr>
          <w:color w:val="000000"/>
          <w:sz w:val="20"/>
          <w:szCs w:val="20"/>
        </w:rPr>
        <w:t xml:space="preserve">, </w:t>
      </w:r>
      <w:r>
        <w:rPr>
          <w:i/>
          <w:iCs/>
          <w:color w:val="000000"/>
          <w:sz w:val="20"/>
          <w:szCs w:val="20"/>
        </w:rPr>
        <w:t>View of East India Docks</w:t>
      </w:r>
      <w:r>
        <w:rPr>
          <w:iCs/>
          <w:color w:val="000000"/>
          <w:sz w:val="20"/>
          <w:szCs w:val="20"/>
        </w:rPr>
        <w:t>,</w:t>
      </w:r>
      <w:r>
        <w:rPr>
          <w:color w:val="000000"/>
          <w:sz w:val="20"/>
          <w:szCs w:val="20"/>
        </w:rPr>
        <w:t xml:space="preserve"> w</w:t>
      </w:r>
      <w:r w:rsidRPr="0075077F">
        <w:rPr>
          <w:color w:val="000000"/>
          <w:sz w:val="20"/>
          <w:szCs w:val="20"/>
        </w:rPr>
        <w:t>aterco</w:t>
      </w:r>
      <w:r>
        <w:rPr>
          <w:color w:val="000000"/>
          <w:sz w:val="20"/>
          <w:szCs w:val="20"/>
        </w:rPr>
        <w:t>lor (</w:t>
      </w:r>
      <w:r w:rsidRPr="0075077F">
        <w:rPr>
          <w:color w:val="000000"/>
          <w:sz w:val="20"/>
          <w:szCs w:val="20"/>
        </w:rPr>
        <w:t>1808</w:t>
      </w:r>
      <w:r>
        <w:rPr>
          <w:color w:val="000000"/>
          <w:sz w:val="20"/>
          <w:szCs w:val="20"/>
        </w:rPr>
        <w:t>), i</w:t>
      </w:r>
      <w:r w:rsidRPr="0075077F">
        <w:rPr>
          <w:color w:val="000000"/>
          <w:sz w:val="20"/>
          <w:szCs w:val="20"/>
        </w:rPr>
        <w:t xml:space="preserve">n </w:t>
      </w:r>
      <w:r w:rsidRPr="0075077F">
        <w:rPr>
          <w:i/>
          <w:iCs/>
          <w:color w:val="000000"/>
          <w:sz w:val="20"/>
          <w:szCs w:val="20"/>
        </w:rPr>
        <w:t>India Britannica</w:t>
      </w:r>
      <w:r>
        <w:rPr>
          <w:i/>
          <w:iCs/>
          <w:color w:val="000000"/>
          <w:sz w:val="20"/>
          <w:szCs w:val="20"/>
        </w:rPr>
        <w:t>,</w:t>
      </w:r>
      <w:r w:rsidRPr="0075077F">
        <w:rPr>
          <w:color w:val="000000"/>
          <w:sz w:val="20"/>
          <w:szCs w:val="20"/>
        </w:rPr>
        <w:t xml:space="preserve"> Geoffrey </w:t>
      </w:r>
      <w:proofErr w:type="spellStart"/>
      <w:r>
        <w:rPr>
          <w:color w:val="000000"/>
          <w:sz w:val="20"/>
          <w:szCs w:val="20"/>
        </w:rPr>
        <w:t>Moorhouse</w:t>
      </w:r>
      <w:proofErr w:type="spellEnd"/>
      <w:r>
        <w:rPr>
          <w:color w:val="000000"/>
          <w:sz w:val="20"/>
          <w:szCs w:val="20"/>
        </w:rPr>
        <w:t xml:space="preserve"> (New York:  </w:t>
      </w:r>
      <w:r w:rsidRPr="0075077F">
        <w:rPr>
          <w:color w:val="000000"/>
          <w:sz w:val="20"/>
          <w:szCs w:val="20"/>
        </w:rPr>
        <w:t>Harper &amp; Row, 1983</w:t>
      </w:r>
      <w:r>
        <w:rPr>
          <w:color w:val="000000"/>
          <w:sz w:val="20"/>
          <w:szCs w:val="20"/>
        </w:rPr>
        <w:t>), pp. 30-31</w:t>
      </w:r>
      <w:r w:rsidRPr="0075077F">
        <w:rPr>
          <w:color w:val="000000"/>
          <w:sz w:val="20"/>
          <w:szCs w:val="20"/>
        </w:rPr>
        <w:t>.</w:t>
      </w:r>
      <w:proofErr w:type="gramEnd"/>
      <w:r w:rsidRPr="0075077F">
        <w:rPr>
          <w:color w:val="000000"/>
          <w:sz w:val="20"/>
          <w:szCs w:val="20"/>
        </w:rPr>
        <w:t xml:space="preserve">  </w:t>
      </w:r>
    </w:p>
    <w:p w:rsidR="00A06855" w:rsidRPr="0075077F" w:rsidRDefault="00A06855">
      <w:pPr>
        <w:pStyle w:val="FootnoteText"/>
        <w:rPr>
          <w:rFonts w:ascii="Times New Roman" w:hAnsi="Times New Roman" w:cs="Times New Roman"/>
        </w:rPr>
      </w:pPr>
    </w:p>
  </w:footnote>
  <w:footnote w:id="11">
    <w:p w:rsidR="00A06855" w:rsidRPr="008F1BFB" w:rsidRDefault="00A06855" w:rsidP="008F1BFB">
      <w:pPr>
        <w:pStyle w:val="NormalWeb"/>
        <w:spacing w:before="0" w:beforeAutospacing="0" w:after="0" w:afterAutospacing="0"/>
        <w:rPr>
          <w:color w:val="000000"/>
          <w:sz w:val="20"/>
          <w:szCs w:val="20"/>
        </w:rPr>
      </w:pPr>
      <w:r w:rsidRPr="00B07B4D">
        <w:rPr>
          <w:rStyle w:val="FootnoteReference"/>
          <w:sz w:val="20"/>
          <w:szCs w:val="20"/>
        </w:rPr>
        <w:footnoteRef/>
      </w:r>
      <w:r w:rsidRPr="00B07B4D">
        <w:rPr>
          <w:sz w:val="20"/>
          <w:szCs w:val="20"/>
        </w:rPr>
        <w:t xml:space="preserve"> Gregory </w:t>
      </w:r>
      <w:r w:rsidRPr="00B07B4D">
        <w:rPr>
          <w:color w:val="000000"/>
          <w:sz w:val="20"/>
          <w:szCs w:val="20"/>
        </w:rPr>
        <w:t xml:space="preserve">Fremont-Barnes, </w:t>
      </w:r>
      <w:r w:rsidRPr="00B07B4D">
        <w:rPr>
          <w:i/>
          <w:color w:val="000000"/>
          <w:sz w:val="20"/>
          <w:szCs w:val="20"/>
        </w:rPr>
        <w:t>Essential Histories: The Indian Mutiny 1857-58</w:t>
      </w:r>
      <w:r w:rsidRPr="00B07B4D">
        <w:rPr>
          <w:color w:val="000000"/>
          <w:sz w:val="20"/>
          <w:szCs w:val="20"/>
        </w:rPr>
        <w:t xml:space="preserve">, </w:t>
      </w:r>
      <w:r>
        <w:rPr>
          <w:color w:val="000000"/>
          <w:sz w:val="20"/>
          <w:szCs w:val="20"/>
        </w:rPr>
        <w:t>pp. 20</w:t>
      </w:r>
      <w:r w:rsidRPr="00B07B4D">
        <w:rPr>
          <w:color w:val="000000"/>
          <w:sz w:val="20"/>
          <w:szCs w:val="20"/>
        </w:rPr>
        <w:t>.</w:t>
      </w:r>
    </w:p>
  </w:footnote>
  <w:footnote w:id="12">
    <w:p w:rsidR="00A06855" w:rsidRPr="00320803" w:rsidRDefault="00A06855">
      <w:pPr>
        <w:pStyle w:val="FootnoteText"/>
        <w:rPr>
          <w:rFonts w:ascii="Times New Roman" w:hAnsi="Times New Roman" w:cs="Times New Roman"/>
        </w:rPr>
      </w:pPr>
      <w:r w:rsidRPr="00320803">
        <w:rPr>
          <w:rStyle w:val="FootnoteReference"/>
          <w:rFonts w:ascii="Times New Roman" w:hAnsi="Times New Roman" w:cs="Times New Roman"/>
        </w:rPr>
        <w:footnoteRef/>
      </w:r>
      <w:r w:rsidRPr="00320803">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pp. 89.</w:t>
      </w:r>
    </w:p>
  </w:footnote>
  <w:footnote w:id="13">
    <w:p w:rsidR="00A06855" w:rsidRPr="008F1BFB" w:rsidRDefault="00A06855">
      <w:pPr>
        <w:pStyle w:val="FootnoteText"/>
        <w:rPr>
          <w:rFonts w:ascii="Times New Roman" w:hAnsi="Times New Roman" w:cs="Times New Roman"/>
          <w:color w:val="000000"/>
        </w:rPr>
      </w:pPr>
      <w:r w:rsidRPr="00BC0154">
        <w:rPr>
          <w:rStyle w:val="FootnoteReference"/>
          <w:rFonts w:ascii="Times New Roman" w:hAnsi="Times New Roman" w:cs="Times New Roman"/>
        </w:rPr>
        <w:footnoteRef/>
      </w:r>
      <w:r w:rsidRPr="00BC0154">
        <w:rPr>
          <w:rFonts w:ascii="Times New Roman" w:hAnsi="Times New Roman" w:cs="Times New Roman"/>
        </w:rPr>
        <w:t xml:space="preserve"> Denise </w:t>
      </w:r>
      <w:proofErr w:type="spellStart"/>
      <w:r w:rsidRPr="00BC0154">
        <w:rPr>
          <w:rFonts w:ascii="Times New Roman" w:hAnsi="Times New Roman" w:cs="Times New Roman"/>
          <w:color w:val="000000"/>
        </w:rPr>
        <w:t>Dersin</w:t>
      </w:r>
      <w:proofErr w:type="spellEnd"/>
      <w:r w:rsidRPr="00BC0154">
        <w:rPr>
          <w:rFonts w:ascii="Times New Roman" w:hAnsi="Times New Roman" w:cs="Times New Roman"/>
          <w:color w:val="000000"/>
        </w:rPr>
        <w:t xml:space="preserve">, ed., </w:t>
      </w:r>
      <w:r w:rsidRPr="00BC0154">
        <w:rPr>
          <w:rFonts w:ascii="Times New Roman" w:hAnsi="Times New Roman" w:cs="Times New Roman"/>
          <w:i/>
          <w:iCs/>
          <w:color w:val="000000"/>
        </w:rPr>
        <w:t>What Life Was Like In the Jewel In the Crown: British India, AD 1600-1905</w:t>
      </w:r>
      <w:r>
        <w:rPr>
          <w:rFonts w:ascii="Times New Roman" w:hAnsi="Times New Roman" w:cs="Times New Roman"/>
          <w:color w:val="000000"/>
        </w:rPr>
        <w:t xml:space="preserve">, </w:t>
      </w:r>
      <w:r w:rsidRPr="00BC0154">
        <w:rPr>
          <w:rFonts w:ascii="Times New Roman" w:hAnsi="Times New Roman" w:cs="Times New Roman"/>
          <w:color w:val="000000"/>
        </w:rPr>
        <w:t xml:space="preserve">pp. </w:t>
      </w:r>
      <w:r>
        <w:rPr>
          <w:rFonts w:ascii="Times New Roman" w:hAnsi="Times New Roman" w:cs="Times New Roman"/>
          <w:color w:val="000000"/>
        </w:rPr>
        <w:t>8</w:t>
      </w:r>
      <w:r w:rsidRPr="00BC0154">
        <w:rPr>
          <w:rFonts w:ascii="Times New Roman" w:hAnsi="Times New Roman" w:cs="Times New Roman"/>
          <w:color w:val="000000"/>
        </w:rPr>
        <w:t>.</w:t>
      </w:r>
    </w:p>
  </w:footnote>
  <w:footnote w:id="14">
    <w:p w:rsidR="00A06855" w:rsidRPr="008F1BFB" w:rsidRDefault="00A06855" w:rsidP="008F1BFB">
      <w:pPr>
        <w:pStyle w:val="NormalWeb"/>
        <w:spacing w:before="0" w:beforeAutospacing="0" w:after="0" w:afterAutospacing="0"/>
        <w:rPr>
          <w:sz w:val="20"/>
        </w:rPr>
      </w:pPr>
      <w:r w:rsidRPr="00BF6FE7">
        <w:rPr>
          <w:rStyle w:val="FootnoteReference"/>
          <w:sz w:val="20"/>
        </w:rPr>
        <w:footnoteRef/>
      </w:r>
      <w:r w:rsidRPr="00BF6FE7">
        <w:rPr>
          <w:sz w:val="20"/>
        </w:rPr>
        <w:t xml:space="preserve"> </w:t>
      </w:r>
      <w:r>
        <w:rPr>
          <w:sz w:val="20"/>
        </w:rPr>
        <w:t xml:space="preserve">J.G. </w:t>
      </w:r>
      <w:r w:rsidRPr="00BF6FE7">
        <w:rPr>
          <w:color w:val="000000"/>
          <w:sz w:val="20"/>
        </w:rPr>
        <w:t>Bartholomew</w:t>
      </w:r>
      <w:r>
        <w:rPr>
          <w:color w:val="000000"/>
          <w:sz w:val="20"/>
        </w:rPr>
        <w:t xml:space="preserve"> </w:t>
      </w:r>
      <w:r w:rsidRPr="00BF6FE7">
        <w:rPr>
          <w:color w:val="000000"/>
          <w:sz w:val="20"/>
        </w:rPr>
        <w:t>and The E</w:t>
      </w:r>
      <w:r>
        <w:rPr>
          <w:color w:val="000000"/>
          <w:sz w:val="20"/>
        </w:rPr>
        <w:t>dinburgh Geographical Institute,</w:t>
      </w:r>
      <w:r w:rsidRPr="00BF6FE7">
        <w:rPr>
          <w:color w:val="000000"/>
          <w:sz w:val="20"/>
        </w:rPr>
        <w:t xml:space="preserve"> </w:t>
      </w:r>
      <w:r w:rsidRPr="00BF6FE7">
        <w:rPr>
          <w:i/>
          <w:iCs/>
          <w:color w:val="000000"/>
          <w:sz w:val="20"/>
        </w:rPr>
        <w:t>Political Divisions of the Indian</w:t>
      </w:r>
      <w:r>
        <w:rPr>
          <w:i/>
          <w:iCs/>
          <w:color w:val="000000"/>
          <w:sz w:val="20"/>
        </w:rPr>
        <w:t xml:space="preserve"> </w:t>
      </w:r>
      <w:r w:rsidRPr="00BF6FE7">
        <w:rPr>
          <w:i/>
          <w:iCs/>
          <w:color w:val="000000"/>
          <w:sz w:val="20"/>
        </w:rPr>
        <w:t>Empire</w:t>
      </w:r>
      <w:r>
        <w:rPr>
          <w:color w:val="000000"/>
          <w:sz w:val="20"/>
        </w:rPr>
        <w:t>, map, (</w:t>
      </w:r>
      <w:r w:rsidRPr="00BF6FE7">
        <w:rPr>
          <w:color w:val="000000"/>
          <w:sz w:val="20"/>
        </w:rPr>
        <w:t>1909</w:t>
      </w:r>
      <w:r>
        <w:rPr>
          <w:color w:val="000000"/>
          <w:sz w:val="20"/>
        </w:rPr>
        <w:t>), i</w:t>
      </w:r>
      <w:r w:rsidRPr="00BF6FE7">
        <w:rPr>
          <w:color w:val="000000"/>
          <w:sz w:val="20"/>
        </w:rPr>
        <w:t xml:space="preserve">n </w:t>
      </w:r>
      <w:r w:rsidRPr="00BF6FE7">
        <w:rPr>
          <w:i/>
          <w:iCs/>
          <w:color w:val="000000"/>
          <w:sz w:val="20"/>
        </w:rPr>
        <w:t>The Imperial Gazetteer of India</w:t>
      </w:r>
      <w:r w:rsidR="003915C8">
        <w:rPr>
          <w:color w:val="000000"/>
          <w:sz w:val="20"/>
        </w:rPr>
        <w:t>, Atlas 1909 ed., vol. 2</w:t>
      </w:r>
      <w:r w:rsidRPr="00BF6FE7">
        <w:rPr>
          <w:color w:val="000000"/>
          <w:sz w:val="20"/>
        </w:rPr>
        <w:t> </w:t>
      </w:r>
      <w:r>
        <w:rPr>
          <w:color w:val="000000"/>
          <w:sz w:val="20"/>
        </w:rPr>
        <w:t>(</w:t>
      </w:r>
      <w:r w:rsidRPr="00BF6FE7">
        <w:rPr>
          <w:color w:val="000000"/>
          <w:sz w:val="20"/>
        </w:rPr>
        <w:t xml:space="preserve">Oxford: </w:t>
      </w:r>
      <w:proofErr w:type="spellStart"/>
      <w:r w:rsidRPr="00BF6FE7">
        <w:rPr>
          <w:color w:val="000000"/>
          <w:sz w:val="20"/>
        </w:rPr>
        <w:t>Clareton</w:t>
      </w:r>
      <w:proofErr w:type="spellEnd"/>
      <w:r w:rsidRPr="00BF6FE7">
        <w:rPr>
          <w:color w:val="000000"/>
          <w:sz w:val="20"/>
        </w:rPr>
        <w:t xml:space="preserve"> Press, 1908-1931</w:t>
      </w:r>
      <w:r>
        <w:rPr>
          <w:color w:val="000000"/>
          <w:sz w:val="20"/>
        </w:rPr>
        <w:t>)</w:t>
      </w:r>
      <w:r w:rsidRPr="00BF6FE7">
        <w:rPr>
          <w:color w:val="000000"/>
          <w:sz w:val="20"/>
        </w:rPr>
        <w:t xml:space="preserve">, </w:t>
      </w:r>
      <w:r>
        <w:rPr>
          <w:color w:val="000000"/>
          <w:sz w:val="20"/>
        </w:rPr>
        <w:t>pp. 20, accessed December 22, 2015,</w:t>
      </w:r>
      <w:r w:rsidRPr="00BF6FE7">
        <w:rPr>
          <w:color w:val="000000"/>
          <w:sz w:val="20"/>
        </w:rPr>
        <w:t> </w:t>
      </w:r>
      <w:r w:rsidRPr="00BF6FE7">
        <w:rPr>
          <w:sz w:val="20"/>
        </w:rPr>
        <w:t>http://dsal.uchicago.edu/reference/gaz_atlas_1909/pager.html?object=26.</w:t>
      </w:r>
    </w:p>
  </w:footnote>
  <w:footnote w:id="15">
    <w:p w:rsidR="00A06855" w:rsidRPr="008F1BFB" w:rsidRDefault="00A06855">
      <w:pPr>
        <w:pStyle w:val="FootnoteText"/>
        <w:rPr>
          <w:rFonts w:ascii="Times New Roman" w:hAnsi="Times New Roman" w:cs="Times New Roman"/>
          <w:color w:val="000000"/>
        </w:rPr>
      </w:pPr>
      <w:r w:rsidRPr="00514583">
        <w:rPr>
          <w:rStyle w:val="FootnoteReference"/>
          <w:rFonts w:ascii="Times New Roman" w:hAnsi="Times New Roman" w:cs="Times New Roman"/>
        </w:rPr>
        <w:footnoteRef/>
      </w:r>
      <w:r w:rsidRPr="00514583">
        <w:rPr>
          <w:rFonts w:ascii="Times New Roman" w:hAnsi="Times New Roman" w:cs="Times New Roman"/>
        </w:rPr>
        <w:t xml:space="preserve"> </w:t>
      </w:r>
      <w:r w:rsidRPr="00514583">
        <w:rPr>
          <w:rFonts w:ascii="Times New Roman" w:hAnsi="Times New Roman" w:cs="Times New Roman"/>
          <w:color w:val="000000"/>
        </w:rPr>
        <w:t>Judith E.</w:t>
      </w:r>
      <w:r>
        <w:rPr>
          <w:rFonts w:ascii="Times New Roman" w:hAnsi="Times New Roman" w:cs="Times New Roman"/>
          <w:color w:val="000000"/>
        </w:rPr>
        <w:t xml:space="preserve"> Walsh,</w:t>
      </w:r>
      <w:r w:rsidRPr="00514583">
        <w:rPr>
          <w:rFonts w:ascii="Times New Roman" w:hAnsi="Times New Roman" w:cs="Times New Roman"/>
          <w:color w:val="000000"/>
        </w:rPr>
        <w:t> </w:t>
      </w:r>
      <w:r w:rsidRPr="00514583">
        <w:rPr>
          <w:rFonts w:ascii="Times New Roman" w:hAnsi="Times New Roman" w:cs="Times New Roman"/>
          <w:i/>
          <w:iCs/>
          <w:color w:val="000000"/>
        </w:rPr>
        <w:t>A Brief History of India</w:t>
      </w:r>
      <w:r>
        <w:rPr>
          <w:rFonts w:ascii="Times New Roman" w:hAnsi="Times New Roman" w:cs="Times New Roman"/>
          <w:color w:val="000000"/>
        </w:rPr>
        <w:t>, 2nd ed. (</w:t>
      </w:r>
      <w:r w:rsidRPr="00514583">
        <w:rPr>
          <w:rFonts w:ascii="Times New Roman" w:hAnsi="Times New Roman" w:cs="Times New Roman"/>
          <w:color w:val="000000"/>
        </w:rPr>
        <w:t>New York:  Facts on File, Inc., 2011</w:t>
      </w:r>
      <w:r>
        <w:rPr>
          <w:rFonts w:ascii="Times New Roman" w:hAnsi="Times New Roman" w:cs="Times New Roman"/>
          <w:color w:val="000000"/>
        </w:rPr>
        <w:t>), pp. 219</w:t>
      </w:r>
      <w:r w:rsidRPr="00514583">
        <w:rPr>
          <w:rFonts w:ascii="Times New Roman" w:hAnsi="Times New Roman" w:cs="Times New Roman"/>
          <w:color w:val="000000"/>
        </w:rPr>
        <w:t>.</w:t>
      </w:r>
    </w:p>
  </w:footnote>
  <w:footnote w:id="16">
    <w:p w:rsidR="00A06855" w:rsidRPr="008F1BFB" w:rsidRDefault="00A06855" w:rsidP="008F1BFB">
      <w:pPr>
        <w:pStyle w:val="NormalWeb"/>
        <w:spacing w:before="0" w:beforeAutospacing="0" w:after="0" w:afterAutospacing="0"/>
        <w:rPr>
          <w:sz w:val="20"/>
        </w:rPr>
      </w:pPr>
      <w:r w:rsidRPr="00A501A4">
        <w:rPr>
          <w:rStyle w:val="FootnoteReference"/>
          <w:sz w:val="20"/>
        </w:rPr>
        <w:footnoteRef/>
      </w:r>
      <w:r w:rsidRPr="00A501A4">
        <w:rPr>
          <w:sz w:val="20"/>
        </w:rPr>
        <w:t xml:space="preserve"> </w:t>
      </w:r>
      <w:r w:rsidR="00CC5C6F">
        <w:rPr>
          <w:sz w:val="20"/>
        </w:rPr>
        <w:t>Frederick</w:t>
      </w:r>
      <w:r>
        <w:rPr>
          <w:sz w:val="20"/>
        </w:rPr>
        <w:t xml:space="preserve"> </w:t>
      </w:r>
      <w:proofErr w:type="spellStart"/>
      <w:r w:rsidRPr="00A501A4">
        <w:rPr>
          <w:color w:val="000000"/>
          <w:sz w:val="20"/>
        </w:rPr>
        <w:t>Pethick</w:t>
      </w:r>
      <w:proofErr w:type="spellEnd"/>
      <w:r w:rsidRPr="00A501A4">
        <w:rPr>
          <w:color w:val="000000"/>
          <w:sz w:val="20"/>
        </w:rPr>
        <w:t>-Lawrence</w:t>
      </w:r>
      <w:r>
        <w:rPr>
          <w:color w:val="000000"/>
          <w:sz w:val="20"/>
        </w:rPr>
        <w:t>, “Indian Policy,” d</w:t>
      </w:r>
      <w:r w:rsidRPr="00A501A4">
        <w:rPr>
          <w:color w:val="000000"/>
          <w:sz w:val="20"/>
        </w:rPr>
        <w:t>raft</w:t>
      </w:r>
      <w:r>
        <w:rPr>
          <w:color w:val="000000"/>
          <w:sz w:val="20"/>
        </w:rPr>
        <w:t xml:space="preserve"> statement, Washington, 1947, a</w:t>
      </w:r>
      <w:r w:rsidRPr="00A501A4">
        <w:rPr>
          <w:color w:val="000000"/>
          <w:sz w:val="20"/>
        </w:rPr>
        <w:t xml:space="preserve">ccessed </w:t>
      </w:r>
      <w:r>
        <w:rPr>
          <w:color w:val="000000"/>
          <w:sz w:val="20"/>
        </w:rPr>
        <w:t>December 22, 2015,</w:t>
      </w:r>
      <w:r w:rsidRPr="00A501A4">
        <w:rPr>
          <w:color w:val="000000"/>
          <w:sz w:val="20"/>
        </w:rPr>
        <w:t> </w:t>
      </w:r>
      <w:r w:rsidRPr="00A501A4">
        <w:rPr>
          <w:sz w:val="20"/>
        </w:rPr>
        <w:t>http://www.nationalarchives.gov.uk/education/resources/the-road-to-partition/britains-india-policy/.</w:t>
      </w:r>
    </w:p>
  </w:footnote>
  <w:footnote w:id="17">
    <w:p w:rsidR="00A06855" w:rsidRPr="002C4F54" w:rsidRDefault="00A06855" w:rsidP="002C4F54">
      <w:pPr>
        <w:pStyle w:val="NormalWeb"/>
        <w:spacing w:before="0" w:beforeAutospacing="0" w:after="0" w:afterAutospacing="0"/>
        <w:rPr>
          <w:sz w:val="20"/>
        </w:rPr>
      </w:pPr>
      <w:r w:rsidRPr="002C4F54">
        <w:rPr>
          <w:rStyle w:val="FootnoteReference"/>
          <w:sz w:val="20"/>
        </w:rPr>
        <w:footnoteRef/>
      </w:r>
      <w:r w:rsidRPr="002C4F54">
        <w:rPr>
          <w:sz w:val="20"/>
        </w:rPr>
        <w:t xml:space="preserve"> </w:t>
      </w:r>
      <w:r>
        <w:rPr>
          <w:sz w:val="20"/>
        </w:rPr>
        <w:t xml:space="preserve">William </w:t>
      </w:r>
      <w:r w:rsidRPr="002C4F54">
        <w:rPr>
          <w:color w:val="000000"/>
          <w:sz w:val="20"/>
        </w:rPr>
        <w:t>Dalrymple, “The Great Divide: The vio</w:t>
      </w:r>
      <w:r>
        <w:rPr>
          <w:color w:val="000000"/>
          <w:sz w:val="20"/>
        </w:rPr>
        <w:t>lent legacy of Indian Partition,”</w:t>
      </w:r>
      <w:r w:rsidRPr="002C4F54">
        <w:rPr>
          <w:color w:val="000000"/>
          <w:sz w:val="20"/>
        </w:rPr>
        <w:t> </w:t>
      </w:r>
      <w:r w:rsidRPr="002C4F54">
        <w:rPr>
          <w:i/>
          <w:iCs/>
          <w:color w:val="000000"/>
          <w:sz w:val="20"/>
        </w:rPr>
        <w:t>The New Yorker</w:t>
      </w:r>
      <w:r w:rsidRPr="002C4F54">
        <w:rPr>
          <w:color w:val="000000"/>
          <w:sz w:val="20"/>
        </w:rPr>
        <w:t>, June 2</w:t>
      </w:r>
      <w:r>
        <w:rPr>
          <w:color w:val="000000"/>
          <w:sz w:val="20"/>
        </w:rPr>
        <w:t>9, 2015, a</w:t>
      </w:r>
      <w:r w:rsidRPr="002C4F54">
        <w:rPr>
          <w:color w:val="000000"/>
          <w:sz w:val="20"/>
        </w:rPr>
        <w:t xml:space="preserve">ccessed December 23, </w:t>
      </w:r>
      <w:r>
        <w:rPr>
          <w:color w:val="000000"/>
          <w:sz w:val="20"/>
        </w:rPr>
        <w:t>2015,</w:t>
      </w:r>
      <w:r w:rsidRPr="002C4F54">
        <w:rPr>
          <w:color w:val="000000"/>
          <w:sz w:val="20"/>
        </w:rPr>
        <w:t> </w:t>
      </w:r>
      <w:r w:rsidRPr="002C4F54">
        <w:rPr>
          <w:sz w:val="20"/>
        </w:rPr>
        <w:t>http://www.newyorker.com/magazine/2015/06/29/the-great-divide-books-dalrymple.</w:t>
      </w:r>
    </w:p>
    <w:p w:rsidR="00A06855" w:rsidRDefault="00A06855">
      <w:pPr>
        <w:pStyle w:val="FootnoteText"/>
      </w:pPr>
    </w:p>
  </w:footnote>
  <w:footnote w:id="18">
    <w:p w:rsidR="00A06855" w:rsidRPr="00DE5636" w:rsidRDefault="00A06855">
      <w:pPr>
        <w:pStyle w:val="FootnoteText"/>
        <w:rPr>
          <w:rFonts w:ascii="Times New Roman" w:hAnsi="Times New Roman" w:cs="Times New Roman"/>
        </w:rPr>
      </w:pPr>
      <w:r w:rsidRPr="00DE5636">
        <w:rPr>
          <w:rStyle w:val="FootnoteReference"/>
          <w:rFonts w:ascii="Times New Roman" w:hAnsi="Times New Roman" w:cs="Times New Roman"/>
        </w:rPr>
        <w:footnoteRef/>
      </w:r>
      <w:r w:rsidRPr="00DE5636">
        <w:rPr>
          <w:rFonts w:ascii="Times New Roman" w:hAnsi="Times New Roman" w:cs="Times New Roman"/>
        </w:rPr>
        <w:t xml:space="preserve"> </w:t>
      </w:r>
      <w:r>
        <w:rPr>
          <w:rFonts w:ascii="Times New Roman" w:hAnsi="Times New Roman" w:cs="Times New Roman"/>
        </w:rPr>
        <w:t>Ibid.</w:t>
      </w:r>
    </w:p>
  </w:footnote>
  <w:footnote w:id="19">
    <w:p w:rsidR="00A06855" w:rsidRPr="008F1BFB" w:rsidRDefault="00A06855" w:rsidP="008F1BFB">
      <w:pPr>
        <w:pStyle w:val="NormalWeb"/>
        <w:spacing w:before="0" w:beforeAutospacing="0" w:after="0" w:afterAutospacing="0"/>
        <w:rPr>
          <w:sz w:val="20"/>
        </w:rPr>
      </w:pPr>
      <w:r w:rsidRPr="0032492E">
        <w:rPr>
          <w:rStyle w:val="FootnoteReference"/>
          <w:sz w:val="20"/>
        </w:rPr>
        <w:footnoteRef/>
      </w:r>
      <w:r w:rsidRPr="0032492E">
        <w:rPr>
          <w:sz w:val="20"/>
        </w:rPr>
        <w:t xml:space="preserve"> </w:t>
      </w:r>
      <w:r>
        <w:rPr>
          <w:sz w:val="20"/>
        </w:rPr>
        <w:t xml:space="preserve">Terence </w:t>
      </w:r>
      <w:r w:rsidRPr="0032492E">
        <w:rPr>
          <w:color w:val="000000"/>
          <w:sz w:val="20"/>
        </w:rPr>
        <w:t>Shone</w:t>
      </w:r>
      <w:r>
        <w:rPr>
          <w:color w:val="000000"/>
          <w:sz w:val="20"/>
        </w:rPr>
        <w:t>, l</w:t>
      </w:r>
      <w:r w:rsidRPr="0032492E">
        <w:rPr>
          <w:color w:val="000000"/>
          <w:sz w:val="20"/>
        </w:rPr>
        <w:t>etter to the Secretary of St</w:t>
      </w:r>
      <w:r>
        <w:rPr>
          <w:color w:val="000000"/>
          <w:sz w:val="20"/>
        </w:rPr>
        <w:t>ate for Commonwealth Relations (</w:t>
      </w:r>
      <w:r w:rsidRPr="0032492E">
        <w:rPr>
          <w:color w:val="000000"/>
          <w:sz w:val="20"/>
        </w:rPr>
        <w:t>October 14, 1947</w:t>
      </w:r>
      <w:r>
        <w:rPr>
          <w:color w:val="000000"/>
          <w:sz w:val="20"/>
        </w:rPr>
        <w:t>), accessed December 22, 2015,</w:t>
      </w:r>
      <w:r w:rsidRPr="0032492E">
        <w:rPr>
          <w:color w:val="000000"/>
          <w:sz w:val="20"/>
        </w:rPr>
        <w:t xml:space="preserve"> </w:t>
      </w:r>
      <w:r w:rsidRPr="0032492E">
        <w:rPr>
          <w:sz w:val="20"/>
        </w:rPr>
        <w:t>http://www.nationalarchives.gov.uk/education/resources/the-road-to-partition/evaluating-partition/.</w:t>
      </w:r>
    </w:p>
  </w:footnote>
  <w:footnote w:id="20">
    <w:p w:rsidR="00A06855" w:rsidRPr="00DE37BD" w:rsidRDefault="00A06855">
      <w:pPr>
        <w:pStyle w:val="FootnoteText"/>
        <w:rPr>
          <w:rFonts w:ascii="Times New Roman" w:hAnsi="Times New Roman" w:cs="Times New Roman"/>
        </w:rPr>
      </w:pPr>
      <w:r w:rsidRPr="00DE37BD">
        <w:rPr>
          <w:rStyle w:val="FootnoteReference"/>
          <w:rFonts w:ascii="Times New Roman" w:hAnsi="Times New Roman" w:cs="Times New Roman"/>
        </w:rPr>
        <w:footnoteRef/>
      </w:r>
      <w:r w:rsidRPr="00DE37BD">
        <w:rPr>
          <w:rFonts w:ascii="Times New Roman" w:hAnsi="Times New Roman" w:cs="Times New Roman"/>
        </w:rPr>
        <w:t xml:space="preserve"> </w:t>
      </w:r>
      <w:r>
        <w:rPr>
          <w:rFonts w:ascii="Times New Roman" w:hAnsi="Times New Roman" w:cs="Times New Roman"/>
        </w:rPr>
        <w:t xml:space="preserve">William Dalrymple, “The Great Divide: The violent legacy of Indian Partition.” </w:t>
      </w:r>
    </w:p>
  </w:footnote>
  <w:footnote w:id="21">
    <w:p w:rsidR="00A06855" w:rsidRPr="008F1BFB" w:rsidRDefault="00A06855" w:rsidP="008F1BFB">
      <w:pPr>
        <w:pStyle w:val="NormalWeb"/>
        <w:spacing w:before="0" w:beforeAutospacing="0" w:after="0" w:afterAutospacing="0"/>
        <w:rPr>
          <w:sz w:val="20"/>
        </w:rPr>
      </w:pPr>
      <w:r w:rsidRPr="00611961">
        <w:rPr>
          <w:rStyle w:val="FootnoteReference"/>
          <w:sz w:val="20"/>
        </w:rPr>
        <w:footnoteRef/>
      </w:r>
      <w:r w:rsidRPr="00611961">
        <w:rPr>
          <w:sz w:val="20"/>
        </w:rPr>
        <w:t xml:space="preserve"> </w:t>
      </w:r>
      <w:r w:rsidRPr="00611961">
        <w:rPr>
          <w:i/>
          <w:iCs/>
          <w:color w:val="000000"/>
          <w:sz w:val="20"/>
        </w:rPr>
        <w:t xml:space="preserve">A European Gentleman with his </w:t>
      </w:r>
      <w:proofErr w:type="spellStart"/>
      <w:r w:rsidRPr="00611961">
        <w:rPr>
          <w:i/>
          <w:iCs/>
          <w:color w:val="000000"/>
          <w:sz w:val="20"/>
        </w:rPr>
        <w:t>Munshi</w:t>
      </w:r>
      <w:proofErr w:type="spellEnd"/>
      <w:r w:rsidRPr="00611961">
        <w:rPr>
          <w:i/>
          <w:iCs/>
          <w:color w:val="000000"/>
          <w:sz w:val="20"/>
        </w:rPr>
        <w:t xml:space="preserve"> or Native Professor of Languages</w:t>
      </w:r>
      <w:r>
        <w:rPr>
          <w:i/>
          <w:iCs/>
          <w:color w:val="000000"/>
          <w:sz w:val="20"/>
        </w:rPr>
        <w:t>,</w:t>
      </w:r>
      <w:r>
        <w:rPr>
          <w:color w:val="000000"/>
          <w:sz w:val="20"/>
        </w:rPr>
        <w:t xml:space="preserve"> illustration (</w:t>
      </w:r>
      <w:r w:rsidRPr="00611961">
        <w:rPr>
          <w:color w:val="000000"/>
          <w:sz w:val="20"/>
        </w:rPr>
        <w:t>1813</w:t>
      </w:r>
      <w:r>
        <w:rPr>
          <w:color w:val="000000"/>
          <w:sz w:val="20"/>
        </w:rPr>
        <w:t>),</w:t>
      </w:r>
      <w:r w:rsidRPr="00611961">
        <w:rPr>
          <w:color w:val="000000"/>
          <w:sz w:val="20"/>
        </w:rPr>
        <w:t> </w:t>
      </w:r>
      <w:r>
        <w:rPr>
          <w:color w:val="000000"/>
          <w:sz w:val="20"/>
        </w:rPr>
        <w:t>i</w:t>
      </w:r>
      <w:r w:rsidRPr="00611961">
        <w:rPr>
          <w:color w:val="000000"/>
          <w:sz w:val="20"/>
        </w:rPr>
        <w:t xml:space="preserve">n </w:t>
      </w:r>
      <w:r w:rsidRPr="00611961">
        <w:rPr>
          <w:i/>
          <w:iCs/>
          <w:color w:val="000000"/>
          <w:sz w:val="20"/>
        </w:rPr>
        <w:t>India Britannica</w:t>
      </w:r>
      <w:r>
        <w:rPr>
          <w:color w:val="000000"/>
          <w:sz w:val="20"/>
        </w:rPr>
        <w:t xml:space="preserve">, Geoffrey </w:t>
      </w:r>
      <w:proofErr w:type="spellStart"/>
      <w:r>
        <w:rPr>
          <w:color w:val="000000"/>
          <w:sz w:val="20"/>
        </w:rPr>
        <w:t>Moorhouse</w:t>
      </w:r>
      <w:proofErr w:type="spellEnd"/>
      <w:r>
        <w:rPr>
          <w:color w:val="000000"/>
          <w:sz w:val="20"/>
        </w:rPr>
        <w:t xml:space="preserve"> (</w:t>
      </w:r>
      <w:r w:rsidRPr="00611961">
        <w:rPr>
          <w:color w:val="000000"/>
          <w:sz w:val="20"/>
        </w:rPr>
        <w:t>New York:  Harper &amp; Row, 1983</w:t>
      </w:r>
      <w:r>
        <w:rPr>
          <w:color w:val="000000"/>
          <w:sz w:val="20"/>
        </w:rPr>
        <w:t>), pp</w:t>
      </w:r>
      <w:r w:rsidRPr="00611961">
        <w:rPr>
          <w:color w:val="000000"/>
          <w:sz w:val="20"/>
        </w:rPr>
        <w:t>.</w:t>
      </w:r>
      <w:r>
        <w:rPr>
          <w:color w:val="000000"/>
          <w:sz w:val="20"/>
        </w:rPr>
        <w:t xml:space="preserve"> 61.</w:t>
      </w:r>
    </w:p>
  </w:footnote>
  <w:footnote w:id="22">
    <w:p w:rsidR="00A06855" w:rsidRPr="00562838" w:rsidRDefault="00A06855" w:rsidP="00562838">
      <w:pPr>
        <w:pStyle w:val="NormalWeb"/>
        <w:spacing w:before="0" w:beforeAutospacing="0" w:after="0" w:afterAutospacing="0"/>
        <w:rPr>
          <w:sz w:val="20"/>
        </w:rPr>
      </w:pPr>
      <w:r w:rsidRPr="00562838">
        <w:rPr>
          <w:rStyle w:val="FootnoteReference"/>
          <w:sz w:val="20"/>
        </w:rPr>
        <w:footnoteRef/>
      </w:r>
      <w:r w:rsidRPr="00562838">
        <w:rPr>
          <w:sz w:val="20"/>
        </w:rPr>
        <w:t xml:space="preserve"> </w:t>
      </w:r>
      <w:r>
        <w:rPr>
          <w:sz w:val="20"/>
        </w:rPr>
        <w:t xml:space="preserve">Robert </w:t>
      </w:r>
      <w:proofErr w:type="spellStart"/>
      <w:r>
        <w:rPr>
          <w:color w:val="000000"/>
          <w:sz w:val="20"/>
        </w:rPr>
        <w:t>Darnton</w:t>
      </w:r>
      <w:proofErr w:type="spellEnd"/>
      <w:r>
        <w:rPr>
          <w:color w:val="000000"/>
          <w:sz w:val="20"/>
        </w:rPr>
        <w:t>,</w:t>
      </w:r>
      <w:r w:rsidRPr="00562838">
        <w:rPr>
          <w:color w:val="000000"/>
          <w:sz w:val="20"/>
        </w:rPr>
        <w:t xml:space="preserve"> </w:t>
      </w:r>
      <w:r w:rsidRPr="00562838">
        <w:rPr>
          <w:i/>
          <w:iCs/>
          <w:color w:val="000000"/>
          <w:sz w:val="20"/>
        </w:rPr>
        <w:t>Censors at Work: How States Shaped Literature</w:t>
      </w:r>
      <w:r>
        <w:rPr>
          <w:color w:val="000000"/>
          <w:sz w:val="20"/>
        </w:rPr>
        <w:t xml:space="preserve"> (</w:t>
      </w:r>
      <w:r w:rsidRPr="00562838">
        <w:rPr>
          <w:color w:val="000000"/>
          <w:sz w:val="20"/>
        </w:rPr>
        <w:t>New York:  W.W. Norton &amp; Company, 2014</w:t>
      </w:r>
      <w:r>
        <w:rPr>
          <w:color w:val="000000"/>
          <w:sz w:val="20"/>
        </w:rPr>
        <w:t>), pp. 92-95</w:t>
      </w:r>
      <w:r w:rsidRPr="00562838">
        <w:rPr>
          <w:color w:val="000000"/>
          <w:sz w:val="20"/>
        </w:rPr>
        <w:t>.</w:t>
      </w:r>
    </w:p>
    <w:p w:rsidR="00A06855" w:rsidRDefault="00A06855">
      <w:pPr>
        <w:pStyle w:val="FootnoteText"/>
      </w:pPr>
    </w:p>
  </w:footnote>
  <w:footnote w:id="23">
    <w:p w:rsidR="00A06855" w:rsidRPr="001E2CB0" w:rsidRDefault="00A06855">
      <w:pPr>
        <w:pStyle w:val="FootnoteText"/>
        <w:rPr>
          <w:rFonts w:ascii="Times New Roman" w:hAnsi="Times New Roman" w:cs="Times New Roman"/>
        </w:rPr>
      </w:pPr>
      <w:r w:rsidRPr="001E2CB0">
        <w:rPr>
          <w:rStyle w:val="FootnoteReference"/>
          <w:rFonts w:ascii="Times New Roman" w:hAnsi="Times New Roman" w:cs="Times New Roman"/>
        </w:rPr>
        <w:footnoteRef/>
      </w:r>
      <w:r w:rsidRPr="001E2CB0">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pp. 103.</w:t>
      </w:r>
    </w:p>
  </w:footnote>
  <w:footnote w:id="24">
    <w:p w:rsidR="00A06855" w:rsidRPr="001E2CB0" w:rsidRDefault="00A06855">
      <w:pPr>
        <w:pStyle w:val="FootnoteText"/>
        <w:rPr>
          <w:rFonts w:ascii="Times New Roman" w:hAnsi="Times New Roman" w:cs="Times New Roman"/>
        </w:rPr>
      </w:pPr>
      <w:r w:rsidRPr="001E2CB0">
        <w:rPr>
          <w:rStyle w:val="FootnoteReference"/>
          <w:rFonts w:ascii="Times New Roman" w:hAnsi="Times New Roman" w:cs="Times New Roman"/>
        </w:rPr>
        <w:footnoteRef/>
      </w:r>
      <w:r w:rsidRPr="001E2CB0">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pp. 123.</w:t>
      </w:r>
    </w:p>
  </w:footnote>
  <w:footnote w:id="25">
    <w:p w:rsidR="00A06855" w:rsidRPr="008F1BFB" w:rsidRDefault="00A06855" w:rsidP="008F1BFB">
      <w:pPr>
        <w:pStyle w:val="NormalWeb"/>
        <w:spacing w:before="0" w:beforeAutospacing="0" w:after="0" w:afterAutospacing="0"/>
        <w:rPr>
          <w:sz w:val="20"/>
        </w:rPr>
      </w:pPr>
      <w:r w:rsidRPr="00A06855">
        <w:rPr>
          <w:rStyle w:val="FootnoteReference"/>
          <w:sz w:val="20"/>
        </w:rPr>
        <w:footnoteRef/>
      </w:r>
      <w:r w:rsidRPr="00A06855">
        <w:rPr>
          <w:sz w:val="20"/>
        </w:rPr>
        <w:t xml:space="preserve"> </w:t>
      </w:r>
      <w:r>
        <w:rPr>
          <w:sz w:val="20"/>
        </w:rPr>
        <w:t xml:space="preserve">David </w:t>
      </w:r>
      <w:r w:rsidRPr="00A06855">
        <w:rPr>
          <w:color w:val="000000"/>
          <w:sz w:val="20"/>
        </w:rPr>
        <w:t xml:space="preserve">Gilmour, </w:t>
      </w:r>
      <w:proofErr w:type="gramStart"/>
      <w:r w:rsidRPr="00A06855">
        <w:rPr>
          <w:i/>
          <w:iCs/>
          <w:color w:val="000000"/>
          <w:sz w:val="20"/>
        </w:rPr>
        <w:t>The</w:t>
      </w:r>
      <w:proofErr w:type="gramEnd"/>
      <w:r w:rsidRPr="00A06855">
        <w:rPr>
          <w:i/>
          <w:iCs/>
          <w:color w:val="000000"/>
          <w:sz w:val="20"/>
        </w:rPr>
        <w:t xml:space="preserve"> Long Recessional: The Imperial Life of Rudyard Kipling</w:t>
      </w:r>
      <w:r w:rsidRPr="00A06855">
        <w:rPr>
          <w:color w:val="000000"/>
          <w:sz w:val="20"/>
        </w:rPr>
        <w:t> </w:t>
      </w:r>
      <w:r>
        <w:rPr>
          <w:color w:val="000000"/>
          <w:sz w:val="20"/>
        </w:rPr>
        <w:t>(</w:t>
      </w:r>
      <w:r w:rsidRPr="00A06855">
        <w:rPr>
          <w:color w:val="000000"/>
          <w:sz w:val="20"/>
        </w:rPr>
        <w:t>New York:  Farrar, Straus and Giroux, 2002</w:t>
      </w:r>
      <w:r>
        <w:rPr>
          <w:color w:val="000000"/>
          <w:sz w:val="20"/>
        </w:rPr>
        <w:t>), pp. 68</w:t>
      </w:r>
      <w:r w:rsidRPr="00A06855">
        <w:rPr>
          <w:color w:val="000000"/>
          <w:sz w:val="20"/>
        </w:rPr>
        <w:t>.</w:t>
      </w:r>
    </w:p>
  </w:footnote>
  <w:footnote w:id="26">
    <w:p w:rsidR="00A06855" w:rsidRPr="008F1BFB" w:rsidRDefault="00A06855" w:rsidP="008F1BFB">
      <w:pPr>
        <w:pStyle w:val="NormalWeb"/>
        <w:spacing w:before="0" w:beforeAutospacing="0" w:after="0" w:afterAutospacing="0"/>
        <w:rPr>
          <w:sz w:val="20"/>
        </w:rPr>
      </w:pPr>
      <w:r w:rsidRPr="00A06855">
        <w:rPr>
          <w:rStyle w:val="FootnoteReference"/>
          <w:sz w:val="20"/>
        </w:rPr>
        <w:footnoteRef/>
      </w:r>
      <w:r w:rsidRPr="00A06855">
        <w:rPr>
          <w:sz w:val="20"/>
        </w:rPr>
        <w:t xml:space="preserve"> </w:t>
      </w:r>
      <w:r>
        <w:rPr>
          <w:sz w:val="20"/>
        </w:rPr>
        <w:t xml:space="preserve">Rudyard </w:t>
      </w:r>
      <w:r>
        <w:rPr>
          <w:color w:val="000000"/>
          <w:sz w:val="20"/>
        </w:rPr>
        <w:t>Kipling, “The White Man’s Burden,” (</w:t>
      </w:r>
      <w:r w:rsidRPr="00A06855">
        <w:rPr>
          <w:color w:val="000000"/>
          <w:sz w:val="20"/>
        </w:rPr>
        <w:t>1899</w:t>
      </w:r>
      <w:r w:rsidR="006D3EC5">
        <w:rPr>
          <w:color w:val="000000"/>
          <w:sz w:val="20"/>
        </w:rPr>
        <w:t>)</w:t>
      </w:r>
      <w:proofErr w:type="gramStart"/>
      <w:r w:rsidR="006D3EC5">
        <w:rPr>
          <w:color w:val="000000"/>
          <w:sz w:val="20"/>
        </w:rPr>
        <w:t>,  accessed</w:t>
      </w:r>
      <w:proofErr w:type="gramEnd"/>
      <w:r w:rsidR="006D3EC5">
        <w:rPr>
          <w:color w:val="000000"/>
          <w:sz w:val="20"/>
        </w:rPr>
        <w:t xml:space="preserve"> December 22, </w:t>
      </w:r>
      <w:r>
        <w:rPr>
          <w:color w:val="000000"/>
          <w:sz w:val="20"/>
        </w:rPr>
        <w:t>2015,</w:t>
      </w:r>
      <w:r w:rsidRPr="00A06855">
        <w:rPr>
          <w:color w:val="000000"/>
          <w:sz w:val="20"/>
        </w:rPr>
        <w:t> </w:t>
      </w:r>
      <w:r w:rsidRPr="00A06855">
        <w:rPr>
          <w:sz w:val="20"/>
        </w:rPr>
        <w:t>http://legacy.fordham.edu/halsall/mod/kipling.asp.</w:t>
      </w:r>
    </w:p>
  </w:footnote>
  <w:footnote w:id="27">
    <w:p w:rsidR="00E27FEC" w:rsidRPr="008F1BFB" w:rsidRDefault="00E27FEC" w:rsidP="008F1BFB">
      <w:pPr>
        <w:pStyle w:val="NormalWeb"/>
        <w:spacing w:before="0" w:beforeAutospacing="0" w:after="0" w:afterAutospacing="0"/>
        <w:rPr>
          <w:sz w:val="20"/>
          <w:szCs w:val="20"/>
        </w:rPr>
      </w:pPr>
      <w:r w:rsidRPr="00E27FEC">
        <w:rPr>
          <w:rStyle w:val="FootnoteReference"/>
          <w:sz w:val="20"/>
          <w:szCs w:val="20"/>
        </w:rPr>
        <w:footnoteRef/>
      </w:r>
      <w:r w:rsidRPr="00E27FEC">
        <w:rPr>
          <w:sz w:val="20"/>
          <w:szCs w:val="20"/>
        </w:rPr>
        <w:t xml:space="preserve"> </w:t>
      </w:r>
      <w:proofErr w:type="gramStart"/>
      <w:r>
        <w:rPr>
          <w:sz w:val="20"/>
          <w:szCs w:val="20"/>
        </w:rPr>
        <w:t xml:space="preserve">George </w:t>
      </w:r>
      <w:r w:rsidRPr="00E27FEC">
        <w:rPr>
          <w:color w:val="000000"/>
          <w:sz w:val="20"/>
          <w:szCs w:val="20"/>
        </w:rPr>
        <w:t xml:space="preserve">Orwell, </w:t>
      </w:r>
      <w:r w:rsidRPr="00E27FEC">
        <w:rPr>
          <w:i/>
          <w:iCs/>
          <w:color w:val="000000"/>
          <w:sz w:val="20"/>
          <w:szCs w:val="20"/>
        </w:rPr>
        <w:t>Shooting an Elephant</w:t>
      </w:r>
      <w:r>
        <w:rPr>
          <w:color w:val="000000"/>
          <w:sz w:val="20"/>
          <w:szCs w:val="20"/>
        </w:rPr>
        <w:t xml:space="preserve"> (</w:t>
      </w:r>
      <w:r w:rsidRPr="00E27FEC">
        <w:rPr>
          <w:color w:val="000000"/>
          <w:sz w:val="20"/>
          <w:szCs w:val="20"/>
        </w:rPr>
        <w:t>New York:  Harc</w:t>
      </w:r>
      <w:r>
        <w:rPr>
          <w:color w:val="000000"/>
          <w:sz w:val="20"/>
          <w:szCs w:val="20"/>
        </w:rPr>
        <w:t>ourt, Brace &amp; World, Inc., 1950), pp. 3.</w:t>
      </w:r>
      <w:proofErr w:type="gramEnd"/>
      <w:r w:rsidRPr="00E27FEC">
        <w:rPr>
          <w:color w:val="000000"/>
          <w:sz w:val="20"/>
          <w:szCs w:val="20"/>
        </w:rPr>
        <w:t xml:space="preserve">  </w:t>
      </w:r>
    </w:p>
  </w:footnote>
  <w:footnote w:id="28">
    <w:p w:rsidR="00E27FEC" w:rsidRDefault="00E27FEC">
      <w:pPr>
        <w:pStyle w:val="FootnoteText"/>
        <w:rPr>
          <w:rFonts w:ascii="Times New Roman" w:hAnsi="Times New Roman" w:cs="Times New Roman"/>
        </w:rPr>
      </w:pPr>
      <w:r w:rsidRPr="00E27FEC">
        <w:rPr>
          <w:rStyle w:val="FootnoteReference"/>
          <w:rFonts w:ascii="Times New Roman" w:hAnsi="Times New Roman" w:cs="Times New Roman"/>
        </w:rPr>
        <w:footnoteRef/>
      </w:r>
      <w:r w:rsidRPr="00E27FEC">
        <w:rPr>
          <w:rFonts w:ascii="Times New Roman" w:hAnsi="Times New Roman" w:cs="Times New Roman"/>
        </w:rPr>
        <w:t xml:space="preserve"> </w:t>
      </w:r>
      <w:proofErr w:type="gramStart"/>
      <w:r>
        <w:rPr>
          <w:rFonts w:ascii="Times New Roman" w:hAnsi="Times New Roman" w:cs="Times New Roman"/>
        </w:rPr>
        <w:t>Ibid.,</w:t>
      </w:r>
      <w:proofErr w:type="gramEnd"/>
      <w:r>
        <w:rPr>
          <w:rFonts w:ascii="Times New Roman" w:hAnsi="Times New Roman" w:cs="Times New Roman"/>
        </w:rPr>
        <w:t xml:space="preserve"> pp. 8.</w:t>
      </w:r>
    </w:p>
    <w:p w:rsidR="009433C9" w:rsidRPr="00E27FEC" w:rsidRDefault="009433C9">
      <w:pPr>
        <w:pStyle w:val="FootnoteText"/>
        <w:rPr>
          <w:rFonts w:ascii="Times New Roman" w:hAnsi="Times New Roman" w:cs="Times New Roman"/>
        </w:rPr>
      </w:pPr>
    </w:p>
  </w:footnote>
  <w:footnote w:id="29">
    <w:p w:rsidR="009433C9" w:rsidRPr="008F1BFB" w:rsidRDefault="009433C9" w:rsidP="008F1BFB">
      <w:pPr>
        <w:pStyle w:val="NoSpacing"/>
        <w:rPr>
          <w:rFonts w:ascii="Times New Roman" w:hAnsi="Times New Roman" w:cs="Times New Roman"/>
          <w:sz w:val="20"/>
          <w:szCs w:val="20"/>
        </w:rPr>
      </w:pPr>
      <w:r w:rsidRPr="008F1BFB">
        <w:rPr>
          <w:rStyle w:val="FootnoteReference"/>
          <w:rFonts w:ascii="Times New Roman" w:hAnsi="Times New Roman" w:cs="Times New Roman"/>
          <w:sz w:val="20"/>
          <w:szCs w:val="20"/>
        </w:rPr>
        <w:footnoteRef/>
      </w:r>
      <w:r w:rsidRPr="008F1BFB">
        <w:rPr>
          <w:rFonts w:ascii="Times New Roman" w:hAnsi="Times New Roman" w:cs="Times New Roman"/>
          <w:sz w:val="20"/>
          <w:szCs w:val="20"/>
        </w:rPr>
        <w:t xml:space="preserve"> Anna-Louise Taylor, “Curry: Where did it come from?”  </w:t>
      </w:r>
      <w:r w:rsidRPr="008F1BFB">
        <w:rPr>
          <w:rFonts w:ascii="Times New Roman" w:hAnsi="Times New Roman" w:cs="Times New Roman"/>
          <w:i/>
          <w:sz w:val="20"/>
          <w:szCs w:val="20"/>
        </w:rPr>
        <w:t>BBC,</w:t>
      </w:r>
      <w:r w:rsidRPr="008F1BFB">
        <w:rPr>
          <w:rFonts w:ascii="Times New Roman" w:hAnsi="Times New Roman" w:cs="Times New Roman"/>
          <w:sz w:val="20"/>
          <w:szCs w:val="20"/>
        </w:rPr>
        <w:t xml:space="preserve"> October 11, 2013, accessed January 19, 2016, http://www.bbc.co.uk/food/0/24432750. </w:t>
      </w:r>
    </w:p>
  </w:footnote>
  <w:footnote w:id="30">
    <w:p w:rsidR="00FE6EAD" w:rsidRPr="009433C9" w:rsidRDefault="009433C9">
      <w:pPr>
        <w:pStyle w:val="FootnoteText"/>
        <w:rPr>
          <w:rFonts w:ascii="Times New Roman" w:hAnsi="Times New Roman" w:cs="Times New Roman"/>
        </w:rPr>
      </w:pPr>
      <w:r w:rsidRPr="009433C9">
        <w:rPr>
          <w:rStyle w:val="FootnoteReference"/>
          <w:rFonts w:ascii="Times New Roman" w:hAnsi="Times New Roman" w:cs="Times New Roman"/>
        </w:rPr>
        <w:footnoteRef/>
      </w:r>
      <w:r w:rsidRPr="009433C9">
        <w:rPr>
          <w:rFonts w:ascii="Times New Roman" w:hAnsi="Times New Roman" w:cs="Times New Roman"/>
        </w:rPr>
        <w:t xml:space="preserve"> </w:t>
      </w:r>
      <w:r>
        <w:rPr>
          <w:rFonts w:ascii="Times New Roman" w:hAnsi="Times New Roman" w:cs="Times New Roman"/>
        </w:rPr>
        <w:t>Ibid.</w:t>
      </w:r>
    </w:p>
  </w:footnote>
  <w:footnote w:id="31">
    <w:p w:rsidR="00FE6EAD" w:rsidRPr="008F1BFB" w:rsidRDefault="00FE6EAD">
      <w:pPr>
        <w:pStyle w:val="FootnoteText"/>
        <w:rPr>
          <w:rFonts w:ascii="Times New Roman" w:hAnsi="Times New Roman" w:cs="Times New Roman"/>
        </w:rPr>
      </w:pPr>
      <w:r w:rsidRPr="009433C9">
        <w:rPr>
          <w:rStyle w:val="FootnoteReference"/>
          <w:rFonts w:ascii="Times New Roman" w:hAnsi="Times New Roman" w:cs="Times New Roman"/>
        </w:rPr>
        <w:footnoteRef/>
      </w:r>
      <w:r w:rsidRPr="009433C9">
        <w:rPr>
          <w:rFonts w:ascii="Times New Roman" w:hAnsi="Times New Roman" w:cs="Times New Roman"/>
        </w:rPr>
        <w:t xml:space="preserve"> </w:t>
      </w:r>
      <w:r>
        <w:rPr>
          <w:rFonts w:ascii="Times New Roman" w:hAnsi="Times New Roman" w:cs="Times New Roman"/>
        </w:rPr>
        <w:t>Ibid.</w:t>
      </w:r>
    </w:p>
  </w:footnote>
  <w:footnote w:id="32">
    <w:p w:rsidR="00FE6EAD" w:rsidRPr="008F1BFB" w:rsidRDefault="00FE6EAD" w:rsidP="008F1BFB">
      <w:pPr>
        <w:pStyle w:val="NormalWeb"/>
        <w:spacing w:before="0" w:beforeAutospacing="0" w:after="0" w:afterAutospacing="0"/>
        <w:rPr>
          <w:sz w:val="20"/>
        </w:rPr>
      </w:pPr>
      <w:r w:rsidRPr="00FE6EAD">
        <w:rPr>
          <w:rStyle w:val="FootnoteReference"/>
          <w:sz w:val="20"/>
        </w:rPr>
        <w:footnoteRef/>
      </w:r>
      <w:r w:rsidRPr="00FE6EAD">
        <w:rPr>
          <w:sz w:val="20"/>
        </w:rPr>
        <w:t xml:space="preserve"> </w:t>
      </w:r>
      <w:r>
        <w:rPr>
          <w:sz w:val="20"/>
        </w:rPr>
        <w:t xml:space="preserve">Simon </w:t>
      </w:r>
      <w:r>
        <w:rPr>
          <w:color w:val="000000"/>
          <w:sz w:val="20"/>
        </w:rPr>
        <w:t>Robinson, “How India ‘Colonized’ Britain,”</w:t>
      </w:r>
      <w:r w:rsidRPr="00FE6EAD">
        <w:rPr>
          <w:color w:val="000000"/>
          <w:sz w:val="20"/>
        </w:rPr>
        <w:t> </w:t>
      </w:r>
      <w:r w:rsidRPr="00FE6EAD">
        <w:rPr>
          <w:i/>
          <w:iCs/>
          <w:color w:val="000000"/>
          <w:sz w:val="20"/>
        </w:rPr>
        <w:t>TIME</w:t>
      </w:r>
      <w:r>
        <w:rPr>
          <w:color w:val="000000"/>
          <w:sz w:val="20"/>
        </w:rPr>
        <w:t>, April 11, 2008, a</w:t>
      </w:r>
      <w:r w:rsidRPr="00FE6EAD">
        <w:rPr>
          <w:color w:val="000000"/>
          <w:sz w:val="20"/>
        </w:rPr>
        <w:t xml:space="preserve">ccessed </w:t>
      </w:r>
      <w:r>
        <w:rPr>
          <w:color w:val="000000"/>
          <w:sz w:val="20"/>
        </w:rPr>
        <w:t>December 23, 2015,</w:t>
      </w:r>
      <w:r w:rsidRPr="00FE6EAD">
        <w:rPr>
          <w:color w:val="000000"/>
          <w:sz w:val="20"/>
        </w:rPr>
        <w:t> </w:t>
      </w:r>
      <w:r w:rsidRPr="00FE6EAD">
        <w:rPr>
          <w:sz w:val="20"/>
        </w:rPr>
        <w:t>http://content.time.com/time/world/article/0,8599,1730172,00.html.</w:t>
      </w:r>
    </w:p>
  </w:footnote>
  <w:footnote w:id="33">
    <w:p w:rsidR="008B5FAE" w:rsidRPr="008F1BFB" w:rsidRDefault="008B5FAE" w:rsidP="008F1BFB">
      <w:pPr>
        <w:pStyle w:val="NormalWeb"/>
        <w:spacing w:before="0" w:beforeAutospacing="0" w:after="0" w:afterAutospacing="0"/>
        <w:rPr>
          <w:sz w:val="20"/>
        </w:rPr>
      </w:pPr>
      <w:r w:rsidRPr="003915C8">
        <w:rPr>
          <w:rStyle w:val="FootnoteReference"/>
          <w:sz w:val="20"/>
        </w:rPr>
        <w:footnoteRef/>
      </w:r>
      <w:r w:rsidRPr="003915C8">
        <w:rPr>
          <w:sz w:val="20"/>
        </w:rPr>
        <w:t xml:space="preserve"> </w:t>
      </w:r>
      <w:r w:rsidR="003915C8">
        <w:rPr>
          <w:color w:val="000000"/>
          <w:sz w:val="20"/>
        </w:rPr>
        <w:t>Sir William Stevenson Meyer</w:t>
      </w:r>
      <w:r w:rsidR="003915C8" w:rsidRPr="003915C8">
        <w:rPr>
          <w:color w:val="000000"/>
          <w:sz w:val="20"/>
        </w:rPr>
        <w:t xml:space="preserve">, Sir Richard Burn, James Sutherland Cotton, and Sir Herbert </w:t>
      </w:r>
      <w:r w:rsidR="003915C8">
        <w:rPr>
          <w:color w:val="000000"/>
          <w:sz w:val="20"/>
        </w:rPr>
        <w:t xml:space="preserve">Hope </w:t>
      </w:r>
      <w:proofErr w:type="spellStart"/>
      <w:r w:rsidR="003915C8">
        <w:rPr>
          <w:color w:val="000000"/>
          <w:sz w:val="20"/>
        </w:rPr>
        <w:t>Risley</w:t>
      </w:r>
      <w:proofErr w:type="spellEnd"/>
      <w:r w:rsidR="003915C8">
        <w:rPr>
          <w:color w:val="000000"/>
          <w:sz w:val="20"/>
        </w:rPr>
        <w:t xml:space="preserve">, </w:t>
      </w:r>
      <w:r w:rsidR="003915C8" w:rsidRPr="003915C8">
        <w:rPr>
          <w:i/>
          <w:iCs/>
          <w:color w:val="000000"/>
          <w:sz w:val="20"/>
        </w:rPr>
        <w:t>The Imperial Gazetteer of India</w:t>
      </w:r>
      <w:r w:rsidR="003915C8" w:rsidRPr="003915C8">
        <w:rPr>
          <w:color w:val="000000"/>
          <w:sz w:val="20"/>
        </w:rPr>
        <w:t>, New ed., 26 vols</w:t>
      </w:r>
      <w:r w:rsidR="003915C8">
        <w:rPr>
          <w:i/>
          <w:iCs/>
          <w:color w:val="000000"/>
          <w:sz w:val="20"/>
        </w:rPr>
        <w:t>.</w:t>
      </w:r>
      <w:r w:rsidR="003915C8" w:rsidRPr="003915C8">
        <w:rPr>
          <w:i/>
          <w:iCs/>
          <w:color w:val="000000"/>
          <w:sz w:val="20"/>
        </w:rPr>
        <w:t> </w:t>
      </w:r>
      <w:r w:rsidR="003915C8">
        <w:rPr>
          <w:iCs/>
          <w:color w:val="000000"/>
          <w:sz w:val="20"/>
        </w:rPr>
        <w:t>(</w:t>
      </w:r>
      <w:r w:rsidR="003915C8" w:rsidRPr="003915C8">
        <w:rPr>
          <w:color w:val="000000"/>
          <w:sz w:val="20"/>
        </w:rPr>
        <w:t xml:space="preserve">Oxford: </w:t>
      </w:r>
      <w:proofErr w:type="spellStart"/>
      <w:r w:rsidR="003915C8" w:rsidRPr="003915C8">
        <w:rPr>
          <w:color w:val="000000"/>
          <w:sz w:val="20"/>
        </w:rPr>
        <w:t>Claredon</w:t>
      </w:r>
      <w:proofErr w:type="spellEnd"/>
      <w:r w:rsidR="003915C8" w:rsidRPr="003915C8">
        <w:rPr>
          <w:color w:val="000000"/>
          <w:sz w:val="20"/>
        </w:rPr>
        <w:t xml:space="preserve"> Press, 1908-1931</w:t>
      </w:r>
      <w:r w:rsidR="003915C8">
        <w:rPr>
          <w:color w:val="000000"/>
          <w:sz w:val="20"/>
        </w:rPr>
        <w:t xml:space="preserve">), </w:t>
      </w:r>
      <w:r w:rsidR="008269B7">
        <w:rPr>
          <w:color w:val="000000"/>
          <w:sz w:val="20"/>
        </w:rPr>
        <w:t xml:space="preserve">vol. 3 </w:t>
      </w:r>
      <w:r w:rsidR="003915C8">
        <w:rPr>
          <w:color w:val="000000"/>
          <w:sz w:val="20"/>
        </w:rPr>
        <w:t>pp. 1, accessed December 22, 2015,</w:t>
      </w:r>
      <w:r w:rsidR="003915C8" w:rsidRPr="003915C8">
        <w:rPr>
          <w:color w:val="000000"/>
          <w:sz w:val="20"/>
        </w:rPr>
        <w:t> </w:t>
      </w:r>
      <w:r w:rsidR="003915C8" w:rsidRPr="003915C8">
        <w:rPr>
          <w:sz w:val="20"/>
        </w:rPr>
        <w:t>http://dsal.uchicago.edu/reference/gazetteer/.</w:t>
      </w:r>
    </w:p>
  </w:footnote>
  <w:footnote w:id="34">
    <w:p w:rsidR="003915C8" w:rsidRPr="008269B7" w:rsidRDefault="003915C8">
      <w:pPr>
        <w:pStyle w:val="FootnoteText"/>
        <w:rPr>
          <w:rFonts w:ascii="Times New Roman" w:hAnsi="Times New Roman" w:cs="Times New Roman"/>
        </w:rPr>
      </w:pPr>
      <w:r w:rsidRPr="008269B7">
        <w:rPr>
          <w:rStyle w:val="FootnoteReference"/>
          <w:rFonts w:ascii="Times New Roman" w:hAnsi="Times New Roman" w:cs="Times New Roman"/>
        </w:rPr>
        <w:footnoteRef/>
      </w:r>
      <w:r w:rsidRPr="008269B7">
        <w:rPr>
          <w:rFonts w:ascii="Times New Roman" w:hAnsi="Times New Roman" w:cs="Times New Roman"/>
        </w:rPr>
        <w:t xml:space="preserve"> </w:t>
      </w:r>
      <w:proofErr w:type="gramStart"/>
      <w:r w:rsidR="008269B7">
        <w:rPr>
          <w:rFonts w:ascii="Times New Roman" w:hAnsi="Times New Roman" w:cs="Times New Roman"/>
        </w:rPr>
        <w:t>Ibid.,</w:t>
      </w:r>
      <w:proofErr w:type="gramEnd"/>
      <w:r w:rsidR="008269B7">
        <w:rPr>
          <w:rFonts w:ascii="Times New Roman" w:hAnsi="Times New Roman" w:cs="Times New Roman"/>
        </w:rPr>
        <w:t xml:space="preserve"> vol.3 pp. 2.</w:t>
      </w:r>
    </w:p>
  </w:footnote>
  <w:footnote w:id="35">
    <w:p w:rsidR="00F423BC" w:rsidRPr="00F423BC" w:rsidRDefault="00F423BC" w:rsidP="00F423BC">
      <w:pPr>
        <w:pStyle w:val="NormalWeb"/>
        <w:spacing w:before="0" w:beforeAutospacing="0" w:after="0" w:afterAutospacing="0"/>
        <w:rPr>
          <w:sz w:val="20"/>
        </w:rPr>
      </w:pPr>
      <w:r w:rsidRPr="00F423BC">
        <w:rPr>
          <w:rStyle w:val="FootnoteReference"/>
          <w:sz w:val="20"/>
        </w:rPr>
        <w:footnoteRef/>
      </w:r>
      <w:r w:rsidRPr="00F423BC">
        <w:rPr>
          <w:sz w:val="20"/>
        </w:rPr>
        <w:t xml:space="preserve"> </w:t>
      </w:r>
      <w:r>
        <w:rPr>
          <w:color w:val="000000"/>
          <w:sz w:val="20"/>
        </w:rPr>
        <w:t>“Lipton’s Teas,” newspaper advertisement, 1892, i</w:t>
      </w:r>
      <w:r w:rsidRPr="00F423BC">
        <w:rPr>
          <w:color w:val="000000"/>
          <w:sz w:val="20"/>
        </w:rPr>
        <w:t xml:space="preserve">n </w:t>
      </w:r>
      <w:r>
        <w:rPr>
          <w:i/>
          <w:iCs/>
          <w:color w:val="000000"/>
          <w:sz w:val="20"/>
        </w:rPr>
        <w:t>The Illustrated London News</w:t>
      </w:r>
      <w:r w:rsidRPr="00F423BC">
        <w:rPr>
          <w:i/>
          <w:iCs/>
          <w:color w:val="000000"/>
          <w:sz w:val="20"/>
        </w:rPr>
        <w:t xml:space="preserve"> </w:t>
      </w:r>
      <w:r>
        <w:rPr>
          <w:iCs/>
          <w:color w:val="000000"/>
          <w:sz w:val="20"/>
        </w:rPr>
        <w:t>(</w:t>
      </w:r>
      <w:r w:rsidRPr="00F423BC">
        <w:rPr>
          <w:color w:val="000000"/>
          <w:sz w:val="20"/>
        </w:rPr>
        <w:t>London: September 17, 1892</w:t>
      </w:r>
      <w:r>
        <w:rPr>
          <w:color w:val="000000"/>
          <w:sz w:val="20"/>
        </w:rPr>
        <w:t>), accessed December 23, 2015,</w:t>
      </w:r>
      <w:r w:rsidRPr="00F423BC">
        <w:rPr>
          <w:color w:val="000000"/>
          <w:sz w:val="20"/>
        </w:rPr>
        <w:t> </w:t>
      </w:r>
      <w:r w:rsidRPr="00F423BC">
        <w:rPr>
          <w:sz w:val="20"/>
        </w:rPr>
        <w:t>http://www.bl.uk/learning/images/asiansinbritain/large126069.html.</w:t>
      </w:r>
    </w:p>
    <w:p w:rsidR="00F423BC" w:rsidRPr="00F423BC" w:rsidRDefault="00F423BC">
      <w:pPr>
        <w:pStyle w:val="FootnoteText"/>
        <w:rPr>
          <w:sz w:val="16"/>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A00A5"/>
    <w:multiLevelType w:val="hybridMultilevel"/>
    <w:tmpl w:val="8FCAB770"/>
    <w:lvl w:ilvl="0" w:tplc="C4FECD54">
      <w:numFmt w:val="bullet"/>
      <w:lvlText w:val="-"/>
      <w:lvlJc w:val="left"/>
      <w:pPr>
        <w:ind w:left="420" w:hanging="360"/>
      </w:pPr>
      <w:rPr>
        <w:rFonts w:ascii="Times New Roman" w:eastAsia="Times New Roman" w:hAnsi="Times New Roman" w:cs="Times New Roman" w:hint="default"/>
        <w:color w:val="00000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nsid w:val="78D132A6"/>
    <w:multiLevelType w:val="hybridMultilevel"/>
    <w:tmpl w:val="20220D84"/>
    <w:lvl w:ilvl="0" w:tplc="A2A643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079"/>
    <w:rsid w:val="00024E2D"/>
    <w:rsid w:val="0008254D"/>
    <w:rsid w:val="00083961"/>
    <w:rsid w:val="000D48F1"/>
    <w:rsid w:val="000D5D00"/>
    <w:rsid w:val="00104E8A"/>
    <w:rsid w:val="00112272"/>
    <w:rsid w:val="0013712B"/>
    <w:rsid w:val="00152121"/>
    <w:rsid w:val="001E2CB0"/>
    <w:rsid w:val="00284253"/>
    <w:rsid w:val="002A4E13"/>
    <w:rsid w:val="002C4F54"/>
    <w:rsid w:val="00310C31"/>
    <w:rsid w:val="00320803"/>
    <w:rsid w:val="0032492E"/>
    <w:rsid w:val="00342E72"/>
    <w:rsid w:val="003915C8"/>
    <w:rsid w:val="003A01A1"/>
    <w:rsid w:val="003A4A3C"/>
    <w:rsid w:val="003E4EEA"/>
    <w:rsid w:val="00447A6B"/>
    <w:rsid w:val="00495058"/>
    <w:rsid w:val="004E0CDC"/>
    <w:rsid w:val="00514583"/>
    <w:rsid w:val="00562838"/>
    <w:rsid w:val="00577249"/>
    <w:rsid w:val="00585079"/>
    <w:rsid w:val="005908C0"/>
    <w:rsid w:val="00604179"/>
    <w:rsid w:val="00611961"/>
    <w:rsid w:val="006165C8"/>
    <w:rsid w:val="0064783F"/>
    <w:rsid w:val="00687417"/>
    <w:rsid w:val="006D3EC5"/>
    <w:rsid w:val="00717206"/>
    <w:rsid w:val="00741059"/>
    <w:rsid w:val="0075077F"/>
    <w:rsid w:val="00780D0E"/>
    <w:rsid w:val="007B118B"/>
    <w:rsid w:val="007F6D8C"/>
    <w:rsid w:val="008269B7"/>
    <w:rsid w:val="00860E07"/>
    <w:rsid w:val="008674BB"/>
    <w:rsid w:val="008B3DF1"/>
    <w:rsid w:val="008B5FAE"/>
    <w:rsid w:val="008B7DF7"/>
    <w:rsid w:val="008F1BFB"/>
    <w:rsid w:val="009433C9"/>
    <w:rsid w:val="00994E50"/>
    <w:rsid w:val="009A45F4"/>
    <w:rsid w:val="009F4C3C"/>
    <w:rsid w:val="00A06855"/>
    <w:rsid w:val="00A108FF"/>
    <w:rsid w:val="00A25C9B"/>
    <w:rsid w:val="00A27C2D"/>
    <w:rsid w:val="00A501A4"/>
    <w:rsid w:val="00A56498"/>
    <w:rsid w:val="00A614D8"/>
    <w:rsid w:val="00AA46DB"/>
    <w:rsid w:val="00B07B4D"/>
    <w:rsid w:val="00B47A4E"/>
    <w:rsid w:val="00B7150B"/>
    <w:rsid w:val="00B80EAE"/>
    <w:rsid w:val="00BC0154"/>
    <w:rsid w:val="00BE406D"/>
    <w:rsid w:val="00BF6FE7"/>
    <w:rsid w:val="00CA1271"/>
    <w:rsid w:val="00CC5C6F"/>
    <w:rsid w:val="00CE0011"/>
    <w:rsid w:val="00D11BE6"/>
    <w:rsid w:val="00D94946"/>
    <w:rsid w:val="00DE37BD"/>
    <w:rsid w:val="00DE5636"/>
    <w:rsid w:val="00E27FEC"/>
    <w:rsid w:val="00E9039E"/>
    <w:rsid w:val="00F02E1D"/>
    <w:rsid w:val="00F05C41"/>
    <w:rsid w:val="00F423BC"/>
    <w:rsid w:val="00FB6FEE"/>
    <w:rsid w:val="00FE6EAD"/>
    <w:rsid w:val="00FF1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0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4179"/>
    <w:pPr>
      <w:ind w:left="720"/>
      <w:contextualSpacing/>
    </w:pPr>
  </w:style>
  <w:style w:type="paragraph" w:styleId="FootnoteText">
    <w:name w:val="footnote text"/>
    <w:basedOn w:val="Normal"/>
    <w:link w:val="FootnoteTextChar"/>
    <w:uiPriority w:val="99"/>
    <w:semiHidden/>
    <w:unhideWhenUsed/>
    <w:rsid w:val="00A61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4D8"/>
    <w:rPr>
      <w:sz w:val="20"/>
      <w:szCs w:val="20"/>
    </w:rPr>
  </w:style>
  <w:style w:type="character" w:styleId="FootnoteReference">
    <w:name w:val="footnote reference"/>
    <w:basedOn w:val="DefaultParagraphFont"/>
    <w:uiPriority w:val="99"/>
    <w:semiHidden/>
    <w:unhideWhenUsed/>
    <w:rsid w:val="00A614D8"/>
    <w:rPr>
      <w:vertAlign w:val="superscript"/>
    </w:rPr>
  </w:style>
  <w:style w:type="paragraph" w:styleId="Header">
    <w:name w:val="header"/>
    <w:basedOn w:val="Normal"/>
    <w:link w:val="HeaderChar"/>
    <w:uiPriority w:val="99"/>
    <w:unhideWhenUsed/>
    <w:rsid w:val="008B3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DF1"/>
  </w:style>
  <w:style w:type="paragraph" w:styleId="Footer">
    <w:name w:val="footer"/>
    <w:basedOn w:val="Normal"/>
    <w:link w:val="FooterChar"/>
    <w:uiPriority w:val="99"/>
    <w:unhideWhenUsed/>
    <w:rsid w:val="008B3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DF1"/>
  </w:style>
  <w:style w:type="paragraph" w:styleId="BalloonText">
    <w:name w:val="Balloon Text"/>
    <w:basedOn w:val="Normal"/>
    <w:link w:val="BalloonTextChar"/>
    <w:uiPriority w:val="99"/>
    <w:semiHidden/>
    <w:unhideWhenUsed/>
    <w:rsid w:val="0034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72"/>
    <w:rPr>
      <w:rFonts w:ascii="Tahoma" w:hAnsi="Tahoma" w:cs="Tahoma"/>
      <w:sz w:val="16"/>
      <w:szCs w:val="16"/>
    </w:rPr>
  </w:style>
  <w:style w:type="paragraph" w:styleId="NoSpacing">
    <w:name w:val="No Spacing"/>
    <w:uiPriority w:val="1"/>
    <w:qFormat/>
    <w:rsid w:val="009F4C3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8507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04179"/>
    <w:pPr>
      <w:ind w:left="720"/>
      <w:contextualSpacing/>
    </w:pPr>
  </w:style>
  <w:style w:type="paragraph" w:styleId="FootnoteText">
    <w:name w:val="footnote text"/>
    <w:basedOn w:val="Normal"/>
    <w:link w:val="FootnoteTextChar"/>
    <w:uiPriority w:val="99"/>
    <w:semiHidden/>
    <w:unhideWhenUsed/>
    <w:rsid w:val="00A614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614D8"/>
    <w:rPr>
      <w:sz w:val="20"/>
      <w:szCs w:val="20"/>
    </w:rPr>
  </w:style>
  <w:style w:type="character" w:styleId="FootnoteReference">
    <w:name w:val="footnote reference"/>
    <w:basedOn w:val="DefaultParagraphFont"/>
    <w:uiPriority w:val="99"/>
    <w:semiHidden/>
    <w:unhideWhenUsed/>
    <w:rsid w:val="00A614D8"/>
    <w:rPr>
      <w:vertAlign w:val="superscript"/>
    </w:rPr>
  </w:style>
  <w:style w:type="paragraph" w:styleId="Header">
    <w:name w:val="header"/>
    <w:basedOn w:val="Normal"/>
    <w:link w:val="HeaderChar"/>
    <w:uiPriority w:val="99"/>
    <w:unhideWhenUsed/>
    <w:rsid w:val="008B3D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3DF1"/>
  </w:style>
  <w:style w:type="paragraph" w:styleId="Footer">
    <w:name w:val="footer"/>
    <w:basedOn w:val="Normal"/>
    <w:link w:val="FooterChar"/>
    <w:uiPriority w:val="99"/>
    <w:unhideWhenUsed/>
    <w:rsid w:val="008B3D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3DF1"/>
  </w:style>
  <w:style w:type="paragraph" w:styleId="BalloonText">
    <w:name w:val="Balloon Text"/>
    <w:basedOn w:val="Normal"/>
    <w:link w:val="BalloonTextChar"/>
    <w:uiPriority w:val="99"/>
    <w:semiHidden/>
    <w:unhideWhenUsed/>
    <w:rsid w:val="00342E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E72"/>
    <w:rPr>
      <w:rFonts w:ascii="Tahoma" w:hAnsi="Tahoma" w:cs="Tahoma"/>
      <w:sz w:val="16"/>
      <w:szCs w:val="16"/>
    </w:rPr>
  </w:style>
  <w:style w:type="paragraph" w:styleId="NoSpacing">
    <w:name w:val="No Spacing"/>
    <w:uiPriority w:val="1"/>
    <w:qFormat/>
    <w:rsid w:val="009F4C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5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A47B-07E9-46E2-AD8E-DE35FAD6C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2869</Words>
  <Characters>16357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Xiaorong</dc:creator>
  <cp:lastModifiedBy>Courtney Hobson</cp:lastModifiedBy>
  <cp:revision>2</cp:revision>
  <cp:lastPrinted>2016-02-12T07:04:00Z</cp:lastPrinted>
  <dcterms:created xsi:type="dcterms:W3CDTF">2016-04-09T00:26:00Z</dcterms:created>
  <dcterms:modified xsi:type="dcterms:W3CDTF">2016-04-09T00:26:00Z</dcterms:modified>
</cp:coreProperties>
</file>